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6B86" w:rsidRPr="00257BE6" w:rsidRDefault="005E5D13" w:rsidP="00257BE6">
      <w:pPr>
        <w:pStyle w:val="Title"/>
        <w:rPr>
          <w:rFonts w:asciiTheme="minorHAnsi" w:hAnsiTheme="minorHAnsi" w:cstheme="minorHAnsi"/>
        </w:rPr>
      </w:pPr>
      <w:bookmarkStart w:id="0" w:name="_GoBack"/>
      <w:r w:rsidRPr="00257BE6">
        <w:rPr>
          <w:rFonts w:asciiTheme="minorHAnsi" w:hAnsiTheme="minorHAnsi" w:cstheme="minorHAnsi"/>
        </w:rPr>
        <w:t xml:space="preserve">Ordinary Differential Equations (ODE) Models of Epidemics </w:t>
      </w:r>
    </w:p>
    <w:p w:rsidR="004D6B86" w:rsidRPr="00257BE6" w:rsidRDefault="005E5D13" w:rsidP="00257BE6">
      <w:pPr>
        <w:pStyle w:val="Title2"/>
        <w:rPr>
          <w:rFonts w:cstheme="minorHAnsi"/>
        </w:rPr>
      </w:pPr>
      <w:r w:rsidRPr="00257BE6">
        <w:rPr>
          <w:rFonts w:cstheme="minorHAnsi"/>
        </w:rPr>
        <w:t>Name</w:t>
      </w:r>
    </w:p>
    <w:p w:rsidR="004D6B86" w:rsidRPr="00257BE6" w:rsidRDefault="005E5D13" w:rsidP="00257BE6">
      <w:pPr>
        <w:pStyle w:val="Title2"/>
        <w:rPr>
          <w:rFonts w:cstheme="minorHAnsi"/>
        </w:rPr>
      </w:pPr>
      <w:r w:rsidRPr="00257BE6">
        <w:rPr>
          <w:rFonts w:cstheme="minorHAnsi"/>
        </w:rPr>
        <w:t xml:space="preserve">Institutional Affiliation </w:t>
      </w:r>
    </w:p>
    <w:p w:rsidR="004D6B86" w:rsidRPr="00257BE6" w:rsidRDefault="004D6B86" w:rsidP="00257BE6">
      <w:pPr>
        <w:rPr>
          <w:rFonts w:cstheme="minorHAnsi"/>
        </w:rPr>
      </w:pPr>
    </w:p>
    <w:p w:rsidR="006D7EE9" w:rsidRPr="00257BE6" w:rsidRDefault="005E5D13" w:rsidP="00257BE6">
      <w:pPr>
        <w:pStyle w:val="SectionTitle"/>
        <w:rPr>
          <w:rFonts w:asciiTheme="minorHAnsi" w:hAnsiTheme="minorHAnsi" w:cstheme="minorHAnsi"/>
        </w:rPr>
      </w:pPr>
      <w:r w:rsidRPr="00257BE6">
        <w:rPr>
          <w:rFonts w:asciiTheme="minorHAnsi" w:hAnsiTheme="minorHAnsi" w:cstheme="minorHAnsi"/>
        </w:rPr>
        <w:lastRenderedPageBreak/>
        <w:t xml:space="preserve">Ordinary Differential Equations </w:t>
      </w:r>
    </w:p>
    <w:p w:rsidR="005E5D13" w:rsidRPr="00257BE6" w:rsidRDefault="005E5D13" w:rsidP="00257BE6">
      <w:pPr>
        <w:jc w:val="center"/>
        <w:rPr>
          <w:rFonts w:cstheme="minorHAnsi"/>
          <w:b/>
        </w:rPr>
      </w:pPr>
      <w:r w:rsidRPr="00257BE6">
        <w:rPr>
          <w:rFonts w:cstheme="minorHAnsi"/>
          <w:b/>
        </w:rPr>
        <w:t>Introduction</w:t>
      </w:r>
    </w:p>
    <w:p w:rsidR="004D6B86" w:rsidRPr="00257BE6" w:rsidRDefault="006D7EE9" w:rsidP="00257BE6">
      <w:pPr>
        <w:rPr>
          <w:rFonts w:cstheme="minorHAnsi"/>
        </w:rPr>
      </w:pPr>
      <w:r w:rsidRPr="00257BE6">
        <w:rPr>
          <w:rFonts w:cstheme="minorHAnsi"/>
        </w:rPr>
        <w:t xml:space="preserve"> </w:t>
      </w:r>
      <w:r w:rsidR="005E5D13" w:rsidRPr="00257BE6">
        <w:rPr>
          <w:rFonts w:cstheme="minorHAnsi"/>
          <w:bCs/>
          <w:lang w:bidi="ar-EG"/>
        </w:rPr>
        <w:t xml:space="preserve">Throughout the humanity history great epidemic infections and diseases have been spread across the globe, resulting in catastrophic impact for the people. These diseases include but not limited to malaria, cholera HIV/AIDS etcetera. Various applicable mathematics models can be used to help us comprehend the severity of the diseases as well as prepare the people in the appropriate way possible. </w:t>
      </w:r>
      <w:r w:rsidR="002C0D61" w:rsidRPr="00257BE6">
        <w:rPr>
          <w:rFonts w:cstheme="minorHAnsi"/>
          <w:bCs/>
          <w:lang w:bidi="ar-EG"/>
        </w:rPr>
        <w:t xml:space="preserve">The significant aspect in the recent spread of infections is the continuous displacement of the </w:t>
      </w:r>
      <w:r w:rsidR="00AF6AAA" w:rsidRPr="00257BE6">
        <w:rPr>
          <w:rFonts w:cstheme="minorHAnsi"/>
          <w:bCs/>
          <w:lang w:bidi="ar-EG"/>
        </w:rPr>
        <w:t xml:space="preserve">people. The population increase for instance in the third world nations, is often another element that influence the spread of severe diseases. In 1980s, this trend played an important role in the spread of the HIV </w:t>
      </w:r>
      <w:r w:rsidR="000D4D5B" w:rsidRPr="00257BE6">
        <w:rPr>
          <w:rFonts w:cstheme="minorHAnsi"/>
          <w:bCs/>
          <w:lang w:bidi="ar-EG"/>
        </w:rPr>
        <w:t>viruses</w:t>
      </w:r>
      <w:r w:rsidR="00257BE6">
        <w:rPr>
          <w:rFonts w:cstheme="minorHAnsi"/>
          <w:bCs/>
          <w:lang w:bidi="ar-EG"/>
        </w:rPr>
        <w:t xml:space="preserve"> (Li, 2009)</w:t>
      </w:r>
      <w:r w:rsidR="000D4D5B" w:rsidRPr="00257BE6">
        <w:rPr>
          <w:rFonts w:cstheme="minorHAnsi"/>
          <w:bCs/>
          <w:lang w:bidi="ar-EG"/>
        </w:rPr>
        <w:t>. The knowledge concerning the severity and spread of adverse diseases</w:t>
      </w:r>
      <w:r w:rsidR="004847BB" w:rsidRPr="00257BE6">
        <w:rPr>
          <w:rFonts w:cstheme="minorHAnsi"/>
          <w:bCs/>
          <w:lang w:bidi="ar-EG"/>
        </w:rPr>
        <w:t xml:space="preserve"> is valuable for the people across the world in preventing massive destructions.</w:t>
      </w:r>
      <w:r w:rsidR="000D4D5B" w:rsidRPr="00257BE6">
        <w:rPr>
          <w:rFonts w:cstheme="minorHAnsi"/>
          <w:bCs/>
          <w:lang w:bidi="ar-EG"/>
        </w:rPr>
        <w:t xml:space="preserve"> </w:t>
      </w:r>
      <w:r w:rsidR="004847BB" w:rsidRPr="00257BE6">
        <w:rPr>
          <w:rFonts w:cstheme="minorHAnsi"/>
          <w:bCs/>
          <w:lang w:bidi="ar-EG"/>
        </w:rPr>
        <w:t>This</w:t>
      </w:r>
      <w:r w:rsidR="005E5D13" w:rsidRPr="00257BE6">
        <w:rPr>
          <w:rFonts w:cstheme="minorHAnsi"/>
          <w:bCs/>
          <w:lang w:bidi="ar-EG"/>
        </w:rPr>
        <w:t xml:space="preserve"> paper will use Ordinary Differential Equations (ODE) models to stimulate different types of epidemic diseases</w:t>
      </w:r>
      <w:r w:rsidR="004847BB" w:rsidRPr="00257BE6">
        <w:rPr>
          <w:rFonts w:cstheme="minorHAnsi"/>
          <w:bCs/>
          <w:lang w:bidi="ar-EG"/>
        </w:rPr>
        <w:t>.</w:t>
      </w:r>
    </w:p>
    <w:p w:rsidR="004D6B86" w:rsidRPr="00257BE6" w:rsidRDefault="005E5D13" w:rsidP="00257BE6">
      <w:pPr>
        <w:pStyle w:val="Heading1"/>
        <w:tabs>
          <w:tab w:val="center" w:pos="4680"/>
          <w:tab w:val="left" w:pos="6870"/>
        </w:tabs>
        <w:jc w:val="left"/>
        <w:rPr>
          <w:rFonts w:asciiTheme="minorHAnsi" w:hAnsiTheme="minorHAnsi" w:cstheme="minorHAnsi"/>
        </w:rPr>
      </w:pPr>
      <w:r w:rsidRPr="00257BE6">
        <w:rPr>
          <w:rFonts w:asciiTheme="minorHAnsi" w:hAnsiTheme="minorHAnsi" w:cstheme="minorHAnsi"/>
        </w:rPr>
        <w:tab/>
        <w:t xml:space="preserve">Ordinary Differential Equations (ODE) Models </w:t>
      </w:r>
      <w:r w:rsidRPr="00257BE6">
        <w:rPr>
          <w:rFonts w:asciiTheme="minorHAnsi" w:hAnsiTheme="minorHAnsi" w:cstheme="minorHAnsi"/>
        </w:rPr>
        <w:tab/>
      </w:r>
    </w:p>
    <w:p w:rsidR="004D6B86" w:rsidRPr="00257BE6" w:rsidRDefault="00DB6264" w:rsidP="00257BE6">
      <w:pPr>
        <w:rPr>
          <w:rFonts w:cstheme="minorHAnsi"/>
        </w:rPr>
      </w:pPr>
      <w:r w:rsidRPr="00257BE6">
        <w:rPr>
          <w:rFonts w:cstheme="minorHAnsi"/>
        </w:rPr>
        <w:t>Ordinary differential equations models help in providing crucial details concerning epidemic diseases. The ODE models usually check whether the infection is severe for the people, and based on this the scenario is commonly known as the epidemic disease</w:t>
      </w:r>
      <w:r w:rsidR="00257BE6" w:rsidRPr="00257BE6">
        <w:rPr>
          <w:rFonts w:cstheme="minorHAnsi"/>
        </w:rPr>
        <w:t>.</w:t>
      </w:r>
      <w:r w:rsidR="00D42B1B" w:rsidRPr="00257BE6">
        <w:rPr>
          <w:rFonts w:cstheme="minorHAnsi"/>
        </w:rPr>
        <w:t xml:space="preserve"> Additionally, this essay will also describe </w:t>
      </w:r>
      <w:r w:rsidR="002C0D61" w:rsidRPr="00257BE6">
        <w:rPr>
          <w:rFonts w:cstheme="minorHAnsi"/>
        </w:rPr>
        <w:t>a situation in which the human population experiences the zombification, which is the most devastating and critical epidemic disease that the majority of people may face.</w:t>
      </w:r>
    </w:p>
    <w:p w:rsidR="004D6B86" w:rsidRPr="00257BE6" w:rsidRDefault="004847BB" w:rsidP="00257BE6">
      <w:pPr>
        <w:pStyle w:val="Heading2"/>
        <w:rPr>
          <w:rFonts w:asciiTheme="minorHAnsi" w:hAnsiTheme="minorHAnsi" w:cstheme="minorHAnsi"/>
        </w:rPr>
      </w:pPr>
      <w:r w:rsidRPr="00257BE6">
        <w:rPr>
          <w:rFonts w:asciiTheme="minorHAnsi" w:hAnsiTheme="minorHAnsi" w:cstheme="minorHAnsi"/>
        </w:rPr>
        <w:t>Simple epidemic model</w:t>
      </w:r>
    </w:p>
    <w:p w:rsidR="004D6B86" w:rsidRPr="00257BE6" w:rsidRDefault="00D128F4" w:rsidP="00257BE6">
      <w:pPr>
        <w:rPr>
          <w:rFonts w:cstheme="minorHAnsi"/>
        </w:rPr>
      </w:pPr>
      <w:r w:rsidRPr="00257BE6">
        <w:rPr>
          <w:rFonts w:cstheme="minorHAnsi"/>
        </w:rPr>
        <w:t xml:space="preserve">To simplify the human population can be subdivided into three various categories: </w:t>
      </w:r>
      <w:r w:rsidRPr="00257BE6">
        <w:rPr>
          <w:rFonts w:cstheme="minorHAnsi"/>
          <w:i/>
        </w:rPr>
        <w:t>Susceptible</w:t>
      </w:r>
      <w:r w:rsidRPr="00257BE6">
        <w:rPr>
          <w:rFonts w:cstheme="minorHAnsi"/>
        </w:rPr>
        <w:t xml:space="preserve">(S), representing a number of people who are healthy but subjected to various and may become infected by epidemic </w:t>
      </w:r>
      <w:r w:rsidR="00B41929" w:rsidRPr="00257BE6">
        <w:rPr>
          <w:rFonts w:cstheme="minorHAnsi"/>
        </w:rPr>
        <w:t>diseases.</w:t>
      </w:r>
      <w:r w:rsidR="00B41929" w:rsidRPr="00257BE6">
        <w:rPr>
          <w:rFonts w:cstheme="minorHAnsi"/>
          <w:i/>
        </w:rPr>
        <w:t xml:space="preserve"> Infected</w:t>
      </w:r>
      <w:r w:rsidR="00B41929" w:rsidRPr="00257BE6">
        <w:rPr>
          <w:rFonts w:cstheme="minorHAnsi"/>
        </w:rPr>
        <w:t xml:space="preserve"> (I), these are people who are the carriers or </w:t>
      </w:r>
      <w:r w:rsidR="00B41929" w:rsidRPr="00257BE6">
        <w:rPr>
          <w:rFonts w:cstheme="minorHAnsi"/>
        </w:rPr>
        <w:lastRenderedPageBreak/>
        <w:t xml:space="preserve">have the disease .This category can infect the </w:t>
      </w:r>
      <w:r w:rsidR="00B41929" w:rsidRPr="00257BE6">
        <w:rPr>
          <w:rFonts w:cstheme="minorHAnsi"/>
          <w:i/>
        </w:rPr>
        <w:t>Susceptible</w:t>
      </w:r>
      <w:r w:rsidR="00B41929" w:rsidRPr="00257BE6">
        <w:rPr>
          <w:rFonts w:cstheme="minorHAnsi"/>
        </w:rPr>
        <w:t xml:space="preserve"> group.</w:t>
      </w:r>
      <w:r w:rsidR="00B41929" w:rsidRPr="00257BE6">
        <w:rPr>
          <w:rFonts w:cstheme="minorHAnsi"/>
          <w:i/>
        </w:rPr>
        <w:t xml:space="preserve"> Removed</w:t>
      </w:r>
      <w:r w:rsidR="00B41929" w:rsidRPr="00257BE6">
        <w:rPr>
          <w:rFonts w:cstheme="minorHAnsi"/>
        </w:rPr>
        <w:t>(R), these are people who are recovering or dead, usually human population which are already living with the disease. The natural order for SIR model for human population is as follows,</w:t>
      </w:r>
    </w:p>
    <w:p w:rsidR="00B41929" w:rsidRPr="00257BE6" w:rsidRDefault="00B41929" w:rsidP="00257BE6">
      <w:pPr>
        <w:ind w:firstLine="0"/>
        <w:rPr>
          <w:rFonts w:eastAsia="Times New Roman" w:cstheme="minorHAnsi"/>
          <w:color w:val="auto"/>
          <w:lang w:val="en-GB" w:eastAsia="en-GB"/>
        </w:rPr>
      </w:pPr>
      <w:r w:rsidRPr="00257BE6">
        <w:rPr>
          <w:rFonts w:eastAsia="Times New Roman" w:cstheme="minorHAnsi"/>
          <w:color w:val="auto"/>
          <w:lang w:val="en-GB" w:eastAsia="en-GB"/>
        </w:rPr>
        <w:t xml:space="preserve">                               S→I→R.</w:t>
      </w:r>
    </w:p>
    <w:p w:rsidR="000C53D0" w:rsidRPr="00257BE6" w:rsidRDefault="00B41929" w:rsidP="00257BE6">
      <w:pPr>
        <w:spacing w:before="100" w:beforeAutospacing="1" w:after="100" w:afterAutospacing="1"/>
        <w:ind w:left="284"/>
        <w:contextualSpacing/>
        <w:rPr>
          <w:rFonts w:cstheme="minorHAnsi"/>
          <w:lang w:val="en-GB" w:eastAsia="en-GB"/>
        </w:rPr>
      </w:pPr>
      <w:r w:rsidRPr="00257BE6">
        <w:rPr>
          <w:rFonts w:eastAsia="Times New Roman" w:cstheme="minorHAnsi"/>
          <w:color w:val="auto"/>
          <w:lang w:val="en-GB" w:eastAsia="en-GB"/>
        </w:rPr>
        <w:t>This type of ODE model is commonly known as the SIR model. However, the numb</w:t>
      </w:r>
      <w:r w:rsidR="005E10DF" w:rsidRPr="00257BE6">
        <w:rPr>
          <w:rFonts w:eastAsia="Times New Roman" w:cstheme="minorHAnsi"/>
          <w:color w:val="auto"/>
          <w:lang w:val="en-GB" w:eastAsia="en-GB"/>
        </w:rPr>
        <w:t>er of categories can be altered.</w:t>
      </w:r>
      <w:r w:rsidR="005E10DF" w:rsidRPr="00257BE6">
        <w:rPr>
          <w:rFonts w:eastAsia="Times New Roman" w:cstheme="minorHAnsi"/>
          <w:i/>
          <w:color w:val="auto"/>
          <w:lang w:val="en-GB" w:eastAsia="en-GB"/>
        </w:rPr>
        <w:t xml:space="preserve">SI </w:t>
      </w:r>
      <w:r w:rsidR="005E10DF" w:rsidRPr="00257BE6">
        <w:rPr>
          <w:rFonts w:eastAsia="Times New Roman" w:cstheme="minorHAnsi"/>
          <w:color w:val="auto"/>
          <w:lang w:val="en-GB" w:eastAsia="en-GB"/>
        </w:rPr>
        <w:t xml:space="preserve">contains the first two groups only, and the </w:t>
      </w:r>
      <w:r w:rsidR="005E10DF" w:rsidRPr="00257BE6">
        <w:rPr>
          <w:rFonts w:eastAsia="Times New Roman" w:cstheme="minorHAnsi"/>
          <w:i/>
          <w:color w:val="auto"/>
          <w:lang w:val="en-GB" w:eastAsia="en-GB"/>
        </w:rPr>
        <w:t xml:space="preserve">SEIR </w:t>
      </w:r>
      <w:r w:rsidR="005E10DF" w:rsidRPr="00257BE6">
        <w:rPr>
          <w:rFonts w:eastAsia="Times New Roman" w:cstheme="minorHAnsi"/>
          <w:color w:val="auto"/>
          <w:lang w:val="en-GB" w:eastAsia="en-GB"/>
        </w:rPr>
        <w:t xml:space="preserve">model has included another category </w:t>
      </w:r>
      <w:r w:rsidR="005E10DF" w:rsidRPr="00257BE6">
        <w:rPr>
          <w:rFonts w:eastAsia="Times New Roman" w:cstheme="minorHAnsi"/>
          <w:i/>
          <w:color w:val="auto"/>
          <w:lang w:val="en-GB" w:eastAsia="en-GB"/>
        </w:rPr>
        <w:t>Exposed</w:t>
      </w:r>
      <w:r w:rsidR="005E10DF" w:rsidRPr="00257BE6">
        <w:rPr>
          <w:rFonts w:eastAsia="Times New Roman" w:cstheme="minorHAnsi"/>
          <w:color w:val="auto"/>
          <w:lang w:val="en-GB" w:eastAsia="en-GB"/>
        </w:rPr>
        <w:t xml:space="preserve"> (E), in a situation where the infection is latent</w:t>
      </w:r>
      <w:r w:rsidR="00257BE6">
        <w:rPr>
          <w:rFonts w:eastAsia="Times New Roman" w:cstheme="minorHAnsi"/>
          <w:color w:val="auto"/>
          <w:lang w:val="en-GB" w:eastAsia="en-GB"/>
        </w:rPr>
        <w:t xml:space="preserve"> (Munz et al., 2009)</w:t>
      </w:r>
      <w:r w:rsidR="005E10DF" w:rsidRPr="00257BE6">
        <w:rPr>
          <w:rFonts w:eastAsia="Times New Roman" w:cstheme="minorHAnsi"/>
          <w:color w:val="auto"/>
          <w:lang w:val="en-GB" w:eastAsia="en-GB"/>
        </w:rPr>
        <w:t>. Therefore it can be utilized in modelling the</w:t>
      </w:r>
      <w:r w:rsidR="000C53D0" w:rsidRPr="00257BE6">
        <w:rPr>
          <w:rFonts w:eastAsia="Times New Roman" w:cstheme="minorHAnsi"/>
          <w:color w:val="auto"/>
          <w:lang w:val="en-GB" w:eastAsia="en-GB"/>
        </w:rPr>
        <w:t xml:space="preserve"> incubation time of the disease.</w:t>
      </w:r>
      <w:r w:rsidR="000C53D0" w:rsidRPr="00257BE6">
        <w:rPr>
          <w:rFonts w:cstheme="minorHAnsi"/>
          <w:lang w:val="en-GB" w:eastAsia="en-GB"/>
        </w:rPr>
        <w:t xml:space="preserve"> The</w:t>
      </w:r>
      <w:r w:rsidR="00184FF4" w:rsidRPr="00257BE6">
        <w:rPr>
          <w:rFonts w:cstheme="minorHAnsi"/>
          <w:lang w:val="en-GB" w:eastAsia="en-GB"/>
        </w:rPr>
        <w:t xml:space="preserve"> transmission of the disease and the incubation time are elementary components in regard to the spread of the infection. These are illustrated in terms of differential equations. Because using the SIR model, the incubation period is comparatively </w:t>
      </w:r>
      <w:r w:rsidR="00790A06" w:rsidRPr="00257BE6">
        <w:rPr>
          <w:rFonts w:cstheme="minorHAnsi"/>
          <w:lang w:val="en-GB" w:eastAsia="en-GB"/>
        </w:rPr>
        <w:t>negligible</w:t>
      </w:r>
      <w:r w:rsidR="00257BE6">
        <w:rPr>
          <w:rFonts w:cstheme="minorHAnsi"/>
          <w:lang w:val="en-GB" w:eastAsia="en-GB"/>
        </w:rPr>
        <w:t xml:space="preserve"> (Li, 2009)</w:t>
      </w:r>
      <w:r w:rsidR="00790A06" w:rsidRPr="00257BE6">
        <w:rPr>
          <w:rFonts w:cstheme="minorHAnsi"/>
          <w:lang w:val="en-GB" w:eastAsia="en-GB"/>
        </w:rPr>
        <w:t xml:space="preserve">. The number of people in every category is usually seen as the function of time, often expressed </w:t>
      </w:r>
      <w:r w:rsidR="00790A06" w:rsidRPr="00257BE6">
        <w:rPr>
          <w:rFonts w:cstheme="minorHAnsi"/>
          <w:i/>
          <w:lang w:val="en-GB" w:eastAsia="en-GB"/>
        </w:rPr>
        <w:t>R</w:t>
      </w:r>
      <w:r w:rsidR="00790A06" w:rsidRPr="00257BE6">
        <w:rPr>
          <w:rFonts w:cstheme="minorHAnsi"/>
          <w:lang w:val="en-GB" w:eastAsia="en-GB"/>
        </w:rPr>
        <w:t xml:space="preserve"> (t), </w:t>
      </w:r>
      <w:r w:rsidR="00790A06" w:rsidRPr="00257BE6">
        <w:rPr>
          <w:rFonts w:cstheme="minorHAnsi"/>
          <w:i/>
          <w:lang w:val="en-GB" w:eastAsia="en-GB"/>
        </w:rPr>
        <w:t>I</w:t>
      </w:r>
      <w:r w:rsidR="00790A06" w:rsidRPr="00257BE6">
        <w:rPr>
          <w:rFonts w:cstheme="minorHAnsi"/>
          <w:lang w:val="en-GB" w:eastAsia="en-GB"/>
        </w:rPr>
        <w:t xml:space="preserve"> (t), and </w:t>
      </w:r>
      <w:r w:rsidR="00790A06" w:rsidRPr="00257BE6">
        <w:rPr>
          <w:rFonts w:cstheme="minorHAnsi"/>
          <w:i/>
          <w:lang w:val="en-GB" w:eastAsia="en-GB"/>
        </w:rPr>
        <w:t>S</w:t>
      </w:r>
      <w:r w:rsidR="00790A06" w:rsidRPr="00257BE6">
        <w:rPr>
          <w:rFonts w:cstheme="minorHAnsi"/>
          <w:lang w:val="en-GB" w:eastAsia="en-GB"/>
        </w:rPr>
        <w:t xml:space="preserve"> (t).The growth of the infected individuals which is caused by susceptible group, can be interpreted as the rate of change that is proportional </w:t>
      </w:r>
      <w:r w:rsidR="00B6519B" w:rsidRPr="00257BE6">
        <w:rPr>
          <w:rFonts w:cstheme="minorHAnsi"/>
          <w:lang w:val="en-GB" w:eastAsia="en-GB"/>
        </w:rPr>
        <w:t>to susceptible people and the number of the infected multiplied by r</w:t>
      </w:r>
      <w:r w:rsidR="00B6519B" w:rsidRPr="00257BE6">
        <w:rPr>
          <w:rFonts w:cstheme="minorHAnsi"/>
          <w:i/>
          <w:lang w:val="en-GB" w:eastAsia="en-GB"/>
        </w:rPr>
        <w:t xml:space="preserve">SI </w:t>
      </w:r>
      <w:r w:rsidR="00B6519B" w:rsidRPr="00257BE6">
        <w:rPr>
          <w:rFonts w:cstheme="minorHAnsi"/>
          <w:lang w:val="en-GB" w:eastAsia="en-GB"/>
        </w:rPr>
        <w:t>constant, in which r &gt;0.</w:t>
      </w:r>
      <w:r w:rsidR="00435172" w:rsidRPr="00257BE6">
        <w:rPr>
          <w:rFonts w:cstheme="minorHAnsi"/>
          <w:lang w:val="en-GB" w:eastAsia="en-GB"/>
        </w:rPr>
        <w:t>The constant r</w:t>
      </w:r>
      <w:r w:rsidR="00435172" w:rsidRPr="00257BE6">
        <w:rPr>
          <w:rFonts w:cstheme="minorHAnsi"/>
          <w:i/>
          <w:lang w:val="en-GB" w:eastAsia="en-GB"/>
        </w:rPr>
        <w:t xml:space="preserve">SI </w:t>
      </w:r>
      <w:r w:rsidR="00435172" w:rsidRPr="00257BE6">
        <w:rPr>
          <w:rFonts w:cstheme="minorHAnsi"/>
          <w:lang w:val="en-GB" w:eastAsia="en-GB"/>
        </w:rPr>
        <w:t xml:space="preserve">is used to control transmission efficiency from </w:t>
      </w:r>
      <w:r w:rsidR="00435172" w:rsidRPr="00257BE6">
        <w:rPr>
          <w:rFonts w:cstheme="minorHAnsi"/>
          <w:i/>
          <w:lang w:val="en-GB" w:eastAsia="en-GB"/>
        </w:rPr>
        <w:t>S</w:t>
      </w:r>
      <w:r w:rsidR="00435172" w:rsidRPr="00257BE6">
        <w:rPr>
          <w:rFonts w:cstheme="minorHAnsi"/>
          <w:lang w:val="en-GB" w:eastAsia="en-GB"/>
        </w:rPr>
        <w:t xml:space="preserve"> to </w:t>
      </w:r>
      <w:r w:rsidR="00E211DD" w:rsidRPr="00257BE6">
        <w:rPr>
          <w:rFonts w:cstheme="minorHAnsi"/>
          <w:i/>
          <w:lang w:val="en-GB" w:eastAsia="en-GB"/>
        </w:rPr>
        <w:t>I</w:t>
      </w:r>
      <w:r w:rsidR="00257BE6">
        <w:rPr>
          <w:rFonts w:cstheme="minorHAnsi"/>
          <w:i/>
          <w:lang w:val="en-GB" w:eastAsia="en-GB"/>
        </w:rPr>
        <w:t xml:space="preserve"> </w:t>
      </w:r>
      <w:r w:rsidR="00257BE6" w:rsidRPr="00257BE6">
        <w:rPr>
          <w:rFonts w:cstheme="minorHAnsi"/>
          <w:lang w:val="en-GB" w:eastAsia="en-GB"/>
        </w:rPr>
        <w:t>(Hjorth-Jensen, 2011)</w:t>
      </w:r>
      <w:r w:rsidR="00E211DD" w:rsidRPr="00257BE6">
        <w:rPr>
          <w:rFonts w:cstheme="minorHAnsi"/>
          <w:lang w:val="en-GB" w:eastAsia="en-GB"/>
        </w:rPr>
        <w:t>. This</w:t>
      </w:r>
      <w:r w:rsidR="00435172" w:rsidRPr="00257BE6">
        <w:rPr>
          <w:rFonts w:cstheme="minorHAnsi"/>
          <w:lang w:val="en-GB" w:eastAsia="en-GB"/>
        </w:rPr>
        <w:t xml:space="preserve"> is usually viewed as the reduction in the</w:t>
      </w:r>
      <w:r w:rsidR="00435172" w:rsidRPr="00257BE6">
        <w:rPr>
          <w:rFonts w:cstheme="minorHAnsi"/>
          <w:i/>
          <w:lang w:val="en-GB" w:eastAsia="en-GB"/>
        </w:rPr>
        <w:t xml:space="preserve"> </w:t>
      </w:r>
      <w:r w:rsidR="00E211DD" w:rsidRPr="00257BE6">
        <w:rPr>
          <w:rFonts w:cstheme="minorHAnsi"/>
          <w:i/>
          <w:lang w:val="en-GB" w:eastAsia="en-GB"/>
        </w:rPr>
        <w:t>S</w:t>
      </w:r>
      <w:r w:rsidR="00E211DD" w:rsidRPr="00257BE6">
        <w:rPr>
          <w:rFonts w:cstheme="minorHAnsi"/>
          <w:lang w:val="en-GB" w:eastAsia="en-GB"/>
        </w:rPr>
        <w:t xml:space="preserve"> (</w:t>
      </w:r>
      <w:r w:rsidR="00435172" w:rsidRPr="00257BE6">
        <w:rPr>
          <w:rFonts w:cstheme="minorHAnsi"/>
          <w:lang w:val="en-GB" w:eastAsia="en-GB"/>
        </w:rPr>
        <w:t>t)</w:t>
      </w:r>
      <w:r w:rsidR="00435172" w:rsidRPr="00257BE6">
        <w:rPr>
          <w:rFonts w:cstheme="minorHAnsi"/>
          <w:i/>
          <w:lang w:val="en-GB" w:eastAsia="en-GB"/>
        </w:rPr>
        <w:t xml:space="preserve"> </w:t>
      </w:r>
      <w:r w:rsidR="000C53D0" w:rsidRPr="00257BE6">
        <w:rPr>
          <w:rFonts w:cstheme="minorHAnsi"/>
          <w:lang w:val="en-GB" w:eastAsia="en-GB"/>
        </w:rPr>
        <w:t xml:space="preserve">function. Additionally the removal rate from </w:t>
      </w:r>
      <w:r w:rsidR="000C53D0" w:rsidRPr="00257BE6">
        <w:rPr>
          <w:rFonts w:cstheme="minorHAnsi"/>
          <w:i/>
          <w:lang w:val="en-GB" w:eastAsia="en-GB"/>
        </w:rPr>
        <w:t xml:space="preserve">I </w:t>
      </w:r>
      <w:r w:rsidR="000C53D0" w:rsidRPr="00257BE6">
        <w:rPr>
          <w:rFonts w:cstheme="minorHAnsi"/>
          <w:lang w:val="en-GB" w:eastAsia="en-GB"/>
        </w:rPr>
        <w:t xml:space="preserve">to </w:t>
      </w:r>
      <w:r w:rsidR="000C53D0" w:rsidRPr="00257BE6">
        <w:rPr>
          <w:rFonts w:cstheme="minorHAnsi"/>
          <w:i/>
          <w:lang w:val="en-GB" w:eastAsia="en-GB"/>
        </w:rPr>
        <w:t xml:space="preserve">R </w:t>
      </w:r>
      <w:r w:rsidR="000C53D0" w:rsidRPr="00257BE6">
        <w:rPr>
          <w:rFonts w:cstheme="minorHAnsi"/>
          <w:lang w:val="en-GB" w:eastAsia="en-GB"/>
        </w:rPr>
        <w:t>is seen as the amount of people infected multiplied by</w:t>
      </w:r>
      <w:r w:rsidR="000C53D0" w:rsidRPr="00257BE6">
        <w:rPr>
          <w:rFonts w:cstheme="minorHAnsi"/>
          <w:i/>
          <w:lang w:val="en-GB" w:eastAsia="en-GB"/>
        </w:rPr>
        <w:t xml:space="preserve"> </w:t>
      </w:r>
      <w:r w:rsidR="000C53D0" w:rsidRPr="00257BE6">
        <w:rPr>
          <w:rFonts w:cstheme="minorHAnsi"/>
          <w:lang w:val="en-GB" w:eastAsia="en-GB"/>
        </w:rPr>
        <w:t>a</w:t>
      </w:r>
      <w:r w:rsidR="000C53D0" w:rsidRPr="00257BE6">
        <w:rPr>
          <w:rFonts w:cstheme="minorHAnsi"/>
          <w:i/>
          <w:lang w:val="en-GB" w:eastAsia="en-GB"/>
        </w:rPr>
        <w:t xml:space="preserve">I </w:t>
      </w:r>
      <w:r w:rsidR="000C53D0" w:rsidRPr="00257BE6">
        <w:rPr>
          <w:rFonts w:cstheme="minorHAnsi"/>
          <w:lang w:val="en-GB" w:eastAsia="en-GB"/>
        </w:rPr>
        <w:t>constant, in which a &gt;0, that enhances the control infection period. The dynamic SIR model is as follows,</w:t>
      </w:r>
    </w:p>
    <w:p w:rsidR="000C53D0" w:rsidRPr="00257BE6" w:rsidRDefault="000C53D0" w:rsidP="00257BE6">
      <w:pPr>
        <w:spacing w:before="100" w:beforeAutospacing="1" w:after="100" w:afterAutospacing="1"/>
        <w:ind w:left="284"/>
        <w:contextualSpacing/>
        <w:jc w:val="center"/>
        <w:rPr>
          <w:rFonts w:eastAsia="Times New Roman" w:cstheme="minorHAnsi"/>
          <w:color w:val="auto"/>
          <w:lang w:val="en-GB" w:eastAsia="en-GB"/>
        </w:rPr>
      </w:pPr>
      <m:oMathPara>
        <m:oMath>
          <m:f>
            <m:fPr>
              <m:ctrlPr>
                <w:rPr>
                  <w:rFonts w:ascii="Cambria Math" w:eastAsia="Times New Roman" w:hAnsi="Cambria Math" w:cstheme="minorHAnsi"/>
                  <w:i/>
                  <w:color w:val="auto"/>
                  <w:lang w:val="en-GB" w:eastAsia="en-GB"/>
                </w:rPr>
              </m:ctrlPr>
            </m:fPr>
            <m:num>
              <m:r>
                <w:rPr>
                  <w:rFonts w:ascii="Cambria Math" w:eastAsia="Times New Roman" w:hAnsi="Cambria Math" w:cstheme="minorHAnsi"/>
                  <w:color w:val="auto"/>
                  <w:lang w:val="en-GB" w:eastAsia="en-GB"/>
                </w:rPr>
                <m:t>dS</m:t>
              </m:r>
            </m:num>
            <m:den>
              <m:r>
                <w:rPr>
                  <w:rFonts w:ascii="Cambria Math" w:eastAsia="Times New Roman" w:hAnsi="Cambria Math" w:cstheme="minorHAnsi"/>
                  <w:color w:val="auto"/>
                  <w:lang w:val="en-GB" w:eastAsia="en-GB"/>
                </w:rPr>
                <m:t>dt</m:t>
              </m:r>
            </m:den>
          </m:f>
          <m:r>
            <w:rPr>
              <w:rFonts w:ascii="Cambria Math" w:eastAsia="Times New Roman" w:hAnsi="Cambria Math" w:cstheme="minorHAnsi"/>
              <w:color w:val="auto"/>
              <w:lang w:val="en-GB" w:eastAsia="en-GB"/>
            </w:rPr>
            <m:t>=-rSI</m:t>
          </m:r>
        </m:oMath>
      </m:oMathPara>
    </w:p>
    <w:p w:rsidR="0013546E" w:rsidRPr="00257BE6" w:rsidRDefault="0013546E" w:rsidP="00257BE6">
      <w:pPr>
        <w:spacing w:before="100" w:beforeAutospacing="1" w:after="100" w:afterAutospacing="1"/>
        <w:ind w:left="284"/>
        <w:contextualSpacing/>
        <w:jc w:val="center"/>
        <w:rPr>
          <w:rFonts w:eastAsia="Times New Roman" w:cstheme="minorHAnsi"/>
          <w:color w:val="auto"/>
          <w:lang w:val="en-GB" w:eastAsia="en-GB"/>
        </w:rPr>
      </w:pPr>
      <m:oMath>
        <m:f>
          <m:fPr>
            <m:ctrlPr>
              <w:rPr>
                <w:rFonts w:ascii="Cambria Math" w:eastAsia="Times New Roman" w:hAnsi="Cambria Math" w:cstheme="minorHAnsi"/>
                <w:i/>
                <w:color w:val="auto"/>
                <w:lang w:val="en-GB" w:eastAsia="en-GB"/>
              </w:rPr>
            </m:ctrlPr>
          </m:fPr>
          <m:num>
            <m:r>
              <w:rPr>
                <w:rFonts w:ascii="Cambria Math" w:eastAsia="Times New Roman" w:hAnsi="Cambria Math" w:cstheme="minorHAnsi"/>
                <w:color w:val="auto"/>
                <w:lang w:val="en-GB" w:eastAsia="en-GB"/>
              </w:rPr>
              <m:t>dI</m:t>
            </m:r>
          </m:num>
          <m:den>
            <m:r>
              <w:rPr>
                <w:rFonts w:ascii="Cambria Math" w:eastAsia="Times New Roman" w:hAnsi="Cambria Math" w:cstheme="minorHAnsi"/>
                <w:color w:val="auto"/>
                <w:lang w:val="en-GB" w:eastAsia="en-GB"/>
              </w:rPr>
              <m:t>dt</m:t>
            </m:r>
          </m:den>
        </m:f>
      </m:oMath>
      <w:r w:rsidR="00E211DD" w:rsidRPr="00257BE6">
        <w:rPr>
          <w:rFonts w:eastAsia="Times New Roman" w:cstheme="minorHAnsi"/>
          <w:color w:val="auto"/>
          <w:lang w:val="en-GB" w:eastAsia="en-GB"/>
        </w:rPr>
        <w:t>= r</w:t>
      </w:r>
      <w:r w:rsidR="00E211DD" w:rsidRPr="00257BE6">
        <w:rPr>
          <w:rFonts w:eastAsia="Times New Roman" w:cstheme="minorHAnsi"/>
          <w:i/>
          <w:color w:val="auto"/>
          <w:lang w:val="en-GB" w:eastAsia="en-GB"/>
        </w:rPr>
        <w:t>SI</w:t>
      </w:r>
      <w:r w:rsidRPr="00257BE6">
        <w:rPr>
          <w:rFonts w:eastAsia="Times New Roman" w:cstheme="minorHAnsi"/>
          <w:color w:val="auto"/>
          <w:lang w:val="en-GB" w:eastAsia="en-GB"/>
        </w:rPr>
        <w:t>- a</w:t>
      </w:r>
      <w:r w:rsidRPr="00257BE6">
        <w:rPr>
          <w:rFonts w:eastAsia="Times New Roman" w:cstheme="minorHAnsi"/>
          <w:i/>
          <w:color w:val="auto"/>
          <w:lang w:val="en-GB" w:eastAsia="en-GB"/>
        </w:rPr>
        <w:t>I</w:t>
      </w:r>
    </w:p>
    <w:p w:rsidR="0013546E" w:rsidRPr="00257BE6" w:rsidRDefault="0013546E" w:rsidP="00257BE6">
      <w:pPr>
        <w:spacing w:before="100" w:beforeAutospacing="1" w:after="100" w:afterAutospacing="1"/>
        <w:ind w:left="284"/>
        <w:contextualSpacing/>
        <w:jc w:val="center"/>
        <w:rPr>
          <w:rFonts w:eastAsia="Times New Roman" w:cstheme="minorHAnsi"/>
          <w:color w:val="auto"/>
          <w:lang w:val="en-GB" w:eastAsia="en-GB"/>
        </w:rPr>
      </w:pPr>
      <m:oMathPara>
        <m:oMath>
          <m:f>
            <m:fPr>
              <m:ctrlPr>
                <w:rPr>
                  <w:rFonts w:ascii="Cambria Math" w:eastAsia="Times New Roman" w:hAnsi="Cambria Math" w:cstheme="minorHAnsi"/>
                  <w:i/>
                  <w:color w:val="auto"/>
                  <w:lang w:val="en-GB" w:eastAsia="en-GB"/>
                </w:rPr>
              </m:ctrlPr>
            </m:fPr>
            <m:num>
              <m:r>
                <w:rPr>
                  <w:rFonts w:ascii="Cambria Math" w:eastAsia="Times New Roman" w:hAnsi="Cambria Math" w:cstheme="minorHAnsi"/>
                  <w:color w:val="auto"/>
                  <w:lang w:val="en-GB" w:eastAsia="en-GB"/>
                </w:rPr>
                <m:t>dR</m:t>
              </m:r>
            </m:num>
            <m:den>
              <m:r>
                <w:rPr>
                  <w:rFonts w:ascii="Cambria Math" w:eastAsia="Times New Roman" w:hAnsi="Cambria Math" w:cstheme="minorHAnsi"/>
                  <w:color w:val="auto"/>
                  <w:lang w:val="en-GB" w:eastAsia="en-GB"/>
                </w:rPr>
                <m:t>dt</m:t>
              </m:r>
            </m:den>
          </m:f>
          <m:r>
            <w:rPr>
              <w:rFonts w:ascii="Cambria Math" w:eastAsia="Times New Roman" w:hAnsi="Cambria Math" w:cstheme="minorHAnsi"/>
              <w:color w:val="auto"/>
              <w:lang w:val="en-GB" w:eastAsia="en-GB"/>
            </w:rPr>
            <m:t>=aI</m:t>
          </m:r>
        </m:oMath>
      </m:oMathPara>
    </w:p>
    <w:p w:rsidR="0013546E" w:rsidRPr="00257BE6" w:rsidRDefault="0013546E" w:rsidP="00257BE6">
      <w:pPr>
        <w:spacing w:before="100" w:beforeAutospacing="1" w:after="100" w:afterAutospacing="1"/>
        <w:ind w:left="284"/>
        <w:contextualSpacing/>
        <w:rPr>
          <w:rFonts w:eastAsia="Times New Roman" w:cstheme="minorHAnsi"/>
          <w:color w:val="auto"/>
          <w:lang w:val="en-GB" w:eastAsia="en-GB"/>
        </w:rPr>
      </w:pPr>
      <w:r w:rsidRPr="00257BE6">
        <w:rPr>
          <w:rFonts w:cstheme="minorHAnsi"/>
          <w:lang w:val="en-GB" w:eastAsia="en-GB"/>
        </w:rPr>
        <w:lastRenderedPageBreak/>
        <w:t>This type of ODE model is commonly known as the Kermack-Mckendrick mathematical model. It assumes that all the categories</w:t>
      </w:r>
      <w:r w:rsidRPr="00257BE6">
        <w:rPr>
          <w:rFonts w:eastAsia="Times New Roman" w:cstheme="minorHAnsi"/>
          <w:color w:val="auto"/>
          <w:lang w:val="en-GB" w:eastAsia="en-GB"/>
        </w:rPr>
        <w:t xml:space="preserve"> S→I→R are always mixed uniformly</w:t>
      </w:r>
      <w:r w:rsidR="00E211DD" w:rsidRPr="00257BE6">
        <w:rPr>
          <w:rFonts w:eastAsia="Times New Roman" w:cstheme="minorHAnsi"/>
          <w:color w:val="auto"/>
          <w:lang w:val="en-GB" w:eastAsia="en-GB"/>
        </w:rPr>
        <w:t xml:space="preserve"> as well as there is an equal distribution of contact for all the people. However, the assumptions are not applicable to all types of infections, particularly the sexually transmitted infections. Also, the number of all the human population will always remain constant since we are dealing with the closed system. </w:t>
      </w:r>
    </w:p>
    <w:p w:rsidR="00E211DD" w:rsidRPr="00257BE6" w:rsidRDefault="00E211DD" w:rsidP="00257BE6">
      <w:pPr>
        <w:spacing w:before="100" w:beforeAutospacing="1" w:after="100" w:afterAutospacing="1"/>
        <w:ind w:left="284"/>
        <w:contextualSpacing/>
        <w:rPr>
          <w:rFonts w:eastAsia="Times New Roman" w:cstheme="minorHAnsi"/>
          <w:color w:val="auto"/>
          <w:lang w:val="en-GB" w:eastAsia="en-GB"/>
        </w:rPr>
      </w:pPr>
      <m:oMathPara>
        <m:oMath>
          <m:f>
            <m:fPr>
              <m:ctrlPr>
                <w:rPr>
                  <w:rFonts w:ascii="Cambria Math" w:eastAsia="Times New Roman" w:hAnsi="Cambria Math" w:cstheme="minorHAnsi"/>
                  <w:i/>
                  <w:color w:val="auto"/>
                  <w:lang w:val="en-GB" w:eastAsia="en-GB"/>
                </w:rPr>
              </m:ctrlPr>
            </m:fPr>
            <m:num>
              <m:r>
                <w:rPr>
                  <w:rFonts w:ascii="Cambria Math" w:eastAsia="Times New Roman" w:hAnsi="Cambria Math" w:cstheme="minorHAnsi"/>
                  <w:color w:val="auto"/>
                  <w:lang w:val="en-GB" w:eastAsia="en-GB"/>
                </w:rPr>
                <m:t>dS</m:t>
              </m:r>
            </m:num>
            <m:den>
              <m:r>
                <w:rPr>
                  <w:rFonts w:ascii="Cambria Math" w:eastAsia="Times New Roman" w:hAnsi="Cambria Math" w:cstheme="minorHAnsi"/>
                  <w:color w:val="auto"/>
                  <w:lang w:val="en-GB" w:eastAsia="en-GB"/>
                </w:rPr>
                <m:t>dt</m:t>
              </m:r>
            </m:den>
          </m:f>
          <m:r>
            <w:rPr>
              <w:rFonts w:ascii="Cambria Math" w:eastAsia="Times New Roman" w:hAnsi="Cambria Math" w:cstheme="minorHAnsi"/>
              <w:color w:val="auto"/>
              <w:lang w:val="en-GB" w:eastAsia="en-GB"/>
            </w:rPr>
            <m:t>+</m:t>
          </m:r>
          <m:f>
            <m:fPr>
              <m:ctrlPr>
                <w:rPr>
                  <w:rFonts w:ascii="Cambria Math" w:eastAsia="Times New Roman" w:hAnsi="Cambria Math" w:cstheme="minorHAnsi"/>
                  <w:i/>
                  <w:color w:val="auto"/>
                  <w:lang w:val="en-GB" w:eastAsia="en-GB"/>
                </w:rPr>
              </m:ctrlPr>
            </m:fPr>
            <m:num>
              <m:r>
                <w:rPr>
                  <w:rFonts w:ascii="Cambria Math" w:eastAsia="Times New Roman" w:hAnsi="Cambria Math" w:cstheme="minorHAnsi"/>
                  <w:color w:val="auto"/>
                  <w:lang w:val="en-GB" w:eastAsia="en-GB"/>
                </w:rPr>
                <m:t>dI</m:t>
              </m:r>
            </m:num>
            <m:den>
              <m:r>
                <w:rPr>
                  <w:rFonts w:ascii="Cambria Math" w:eastAsia="Times New Roman" w:hAnsi="Cambria Math" w:cstheme="minorHAnsi"/>
                  <w:color w:val="auto"/>
                  <w:lang w:val="en-GB" w:eastAsia="en-GB"/>
                </w:rPr>
                <m:t>dt</m:t>
              </m:r>
            </m:den>
          </m:f>
          <m:r>
            <w:rPr>
              <w:rFonts w:ascii="Cambria Math" w:eastAsia="Times New Roman" w:hAnsi="Cambria Math" w:cstheme="minorHAnsi"/>
              <w:color w:val="auto"/>
              <w:lang w:val="en-GB" w:eastAsia="en-GB"/>
            </w:rPr>
            <m:t>+</m:t>
          </m:r>
          <m:f>
            <m:fPr>
              <m:ctrlPr>
                <w:rPr>
                  <w:rFonts w:ascii="Cambria Math" w:eastAsia="Times New Roman" w:hAnsi="Cambria Math" w:cstheme="minorHAnsi"/>
                  <w:i/>
                  <w:color w:val="auto"/>
                  <w:lang w:val="en-GB" w:eastAsia="en-GB"/>
                </w:rPr>
              </m:ctrlPr>
            </m:fPr>
            <m:num>
              <m:r>
                <w:rPr>
                  <w:rFonts w:ascii="Cambria Math" w:eastAsia="Times New Roman" w:hAnsi="Cambria Math" w:cstheme="minorHAnsi"/>
                  <w:color w:val="auto"/>
                  <w:lang w:val="en-GB" w:eastAsia="en-GB"/>
                </w:rPr>
                <m:t>dR</m:t>
              </m:r>
            </m:num>
            <m:den>
              <m:r>
                <w:rPr>
                  <w:rFonts w:ascii="Cambria Math" w:eastAsia="Times New Roman" w:hAnsi="Cambria Math" w:cstheme="minorHAnsi"/>
                  <w:color w:val="auto"/>
                  <w:lang w:val="en-GB" w:eastAsia="en-GB"/>
                </w:rPr>
                <m:t>dt</m:t>
              </m:r>
            </m:den>
          </m:f>
          <m:r>
            <w:rPr>
              <w:rFonts w:ascii="Cambria Math" w:eastAsia="Times New Roman" w:hAnsi="Cambria Math" w:cstheme="minorHAnsi"/>
              <w:color w:val="auto"/>
              <w:lang w:val="en-GB" w:eastAsia="en-GB"/>
            </w:rPr>
            <m:t>=0</m:t>
          </m:r>
        </m:oMath>
      </m:oMathPara>
    </w:p>
    <w:p w:rsidR="000C53D0" w:rsidRPr="00257BE6" w:rsidRDefault="00E50001" w:rsidP="00257BE6">
      <w:pPr>
        <w:spacing w:before="100" w:beforeAutospacing="1" w:after="100" w:afterAutospacing="1"/>
        <w:ind w:left="284"/>
        <w:contextualSpacing/>
        <w:rPr>
          <w:rFonts w:eastAsia="Times New Roman" w:cstheme="minorHAnsi"/>
          <w:color w:val="auto"/>
          <w:lang w:val="en-GB" w:eastAsia="en-GB"/>
        </w:rPr>
      </w:pPr>
      <w:r w:rsidRPr="00257BE6">
        <w:rPr>
          <w:rFonts w:eastAsia="Times New Roman" w:cstheme="minorHAnsi"/>
          <w:color w:val="auto"/>
          <w:lang w:val="en-GB" w:eastAsia="en-GB"/>
        </w:rPr>
        <w:t xml:space="preserve">Thus, the total population size (N), will be always be a constant </w:t>
      </w:r>
    </w:p>
    <w:p w:rsidR="00B41929" w:rsidRPr="00257BE6" w:rsidRDefault="00E50001" w:rsidP="00257BE6">
      <w:pPr>
        <w:spacing w:before="100" w:beforeAutospacing="1" w:after="100" w:afterAutospacing="1"/>
        <w:ind w:left="284"/>
        <w:contextualSpacing/>
        <w:rPr>
          <w:rFonts w:cstheme="minorHAnsi"/>
          <w:lang w:val="en-GB" w:eastAsia="en-GB"/>
        </w:rPr>
      </w:pPr>
      <m:oMathPara>
        <m:oMath>
          <m:r>
            <w:rPr>
              <w:rFonts w:ascii="Cambria Math" w:hAnsi="Cambria Math" w:cstheme="minorHAnsi"/>
              <w:lang w:val="en-GB" w:eastAsia="en-GB"/>
            </w:rPr>
            <m:t>S</m:t>
          </m:r>
          <m:d>
            <m:dPr>
              <m:ctrlPr>
                <w:rPr>
                  <w:rFonts w:ascii="Cambria Math" w:hAnsi="Cambria Math" w:cstheme="minorHAnsi"/>
                  <w:i/>
                  <w:lang w:val="en-GB" w:eastAsia="en-GB"/>
                </w:rPr>
              </m:ctrlPr>
            </m:dPr>
            <m:e>
              <m:r>
                <w:rPr>
                  <w:rFonts w:ascii="Cambria Math" w:hAnsi="Cambria Math" w:cstheme="minorHAnsi"/>
                  <w:lang w:val="en-GB" w:eastAsia="en-GB"/>
                </w:rPr>
                <m:t>t</m:t>
              </m:r>
            </m:e>
          </m:d>
          <m:r>
            <w:rPr>
              <w:rFonts w:ascii="Cambria Math" w:hAnsi="Cambria Math" w:cstheme="minorHAnsi"/>
              <w:lang w:val="en-GB" w:eastAsia="en-GB"/>
            </w:rPr>
            <m:t>+I</m:t>
          </m:r>
          <m:d>
            <m:dPr>
              <m:ctrlPr>
                <w:rPr>
                  <w:rFonts w:ascii="Cambria Math" w:hAnsi="Cambria Math" w:cstheme="minorHAnsi"/>
                  <w:i/>
                  <w:lang w:val="en-GB" w:eastAsia="en-GB"/>
                </w:rPr>
              </m:ctrlPr>
            </m:dPr>
            <m:e>
              <m:r>
                <w:rPr>
                  <w:rFonts w:ascii="Cambria Math" w:hAnsi="Cambria Math" w:cstheme="minorHAnsi"/>
                  <w:lang w:val="en-GB" w:eastAsia="en-GB"/>
                </w:rPr>
                <m:t>t</m:t>
              </m:r>
            </m:e>
          </m:d>
          <m:r>
            <w:rPr>
              <w:rFonts w:ascii="Cambria Math" w:hAnsi="Cambria Math" w:cstheme="minorHAnsi"/>
              <w:lang w:val="en-GB" w:eastAsia="en-GB"/>
            </w:rPr>
            <m:t>+R</m:t>
          </m:r>
          <m:d>
            <m:dPr>
              <m:ctrlPr>
                <w:rPr>
                  <w:rFonts w:ascii="Cambria Math" w:hAnsi="Cambria Math" w:cstheme="minorHAnsi"/>
                  <w:i/>
                  <w:lang w:val="en-GB" w:eastAsia="en-GB"/>
                </w:rPr>
              </m:ctrlPr>
            </m:dPr>
            <m:e>
              <m:r>
                <w:rPr>
                  <w:rFonts w:ascii="Cambria Math" w:hAnsi="Cambria Math" w:cstheme="minorHAnsi"/>
                  <w:lang w:val="en-GB" w:eastAsia="en-GB"/>
                </w:rPr>
                <m:t>t</m:t>
              </m:r>
            </m:e>
          </m:d>
          <m:r>
            <w:rPr>
              <w:rFonts w:ascii="Cambria Math" w:hAnsi="Cambria Math" w:cstheme="minorHAnsi"/>
              <w:lang w:val="en-GB" w:eastAsia="en-GB"/>
            </w:rPr>
            <m:t>=N</m:t>
          </m:r>
        </m:oMath>
      </m:oMathPara>
    </w:p>
    <w:p w:rsidR="003F7CBD" w:rsidRPr="00257BE6" w:rsidRDefault="00E50001" w:rsidP="00257BE6">
      <w:pPr>
        <w:pStyle w:val="Heading3"/>
        <w:rPr>
          <w:rFonts w:asciiTheme="minorHAnsi" w:hAnsiTheme="minorHAnsi" w:cstheme="minorHAnsi"/>
        </w:rPr>
      </w:pPr>
      <w:r w:rsidRPr="00257BE6">
        <w:rPr>
          <w:rStyle w:val="Heading3Char"/>
          <w:rFonts w:asciiTheme="minorHAnsi" w:hAnsiTheme="minorHAnsi" w:cstheme="minorHAnsi"/>
          <w:b/>
          <w:bCs/>
        </w:rPr>
        <w:t>Threshold Phenomenon</w:t>
      </w:r>
      <w:r w:rsidR="00E7305D" w:rsidRPr="00257BE6">
        <w:rPr>
          <w:rStyle w:val="Heading3Char"/>
          <w:rFonts w:asciiTheme="minorHAnsi" w:hAnsiTheme="minorHAnsi" w:cstheme="minorHAnsi"/>
          <w:b/>
          <w:bCs/>
        </w:rPr>
        <w:t>.</w:t>
      </w:r>
    </w:p>
    <w:p w:rsidR="0009485F" w:rsidRPr="00257BE6" w:rsidRDefault="0025603B" w:rsidP="00257BE6">
      <w:pPr>
        <w:rPr>
          <w:rFonts w:eastAsia="Times New Roman" w:cstheme="minorHAnsi"/>
          <w:color w:val="auto"/>
          <w:lang w:val="en-GB" w:eastAsia="en-GB"/>
        </w:rPr>
      </w:pPr>
      <w:r w:rsidRPr="00257BE6">
        <w:rPr>
          <w:rFonts w:cstheme="minorHAnsi"/>
        </w:rPr>
        <w:t xml:space="preserve">The value of threshold is important when analyzing the ODE epidemic disease model. For the ODE model to cause the situation of epidemic infection, it must fulfil the initial conditions of </w:t>
      </w:r>
      <m:oMath>
        <m:r>
          <w:rPr>
            <w:rFonts w:ascii="Cambria Math" w:hAnsi="Cambria Math" w:cstheme="minorHAnsi"/>
          </w:rPr>
          <m:t>I(t)&gt;</m:t>
        </m:r>
      </m:oMath>
      <w:r w:rsidRPr="00257BE6">
        <w:rPr>
          <w:rFonts w:eastAsia="Times New Roman" w:cstheme="minorHAnsi"/>
          <w:i/>
          <w:color w:val="auto"/>
          <w:lang w:val="en-GB" w:eastAsia="en-GB"/>
        </w:rPr>
        <w:t>I</w:t>
      </w:r>
      <w:r w:rsidRPr="00257BE6">
        <w:rPr>
          <w:rFonts w:eastAsia="Times New Roman" w:cstheme="minorHAnsi"/>
          <w:color w:val="auto"/>
          <w:lang w:val="en-GB" w:eastAsia="en-GB"/>
        </w:rPr>
        <w:t xml:space="preserve">0, </w:t>
      </w:r>
      <w:r w:rsidR="0009485F" w:rsidRPr="00257BE6">
        <w:rPr>
          <w:rFonts w:eastAsia="Times New Roman" w:cstheme="minorHAnsi"/>
          <w:color w:val="auto"/>
          <w:lang w:val="en-GB" w:eastAsia="en-GB"/>
        </w:rPr>
        <w:t>Where</w:t>
      </w:r>
      <m:oMath>
        <m:r>
          <w:rPr>
            <w:rFonts w:ascii="Cambria Math" w:eastAsia="Times New Roman" w:hAnsi="Cambria Math" w:cstheme="minorHAnsi"/>
            <w:color w:val="auto"/>
            <w:lang w:val="en-GB" w:eastAsia="en-GB"/>
          </w:rPr>
          <m:t xml:space="preserve"> </m:t>
        </m:r>
        <m:r>
          <w:rPr>
            <w:rFonts w:ascii="Cambria Math" w:eastAsia="Times New Roman" w:hAnsi="Cambria Math" w:cstheme="minorHAnsi"/>
            <w:color w:val="auto"/>
            <w:lang w:val="en-GB" w:eastAsia="en-GB"/>
          </w:rPr>
          <m:t>t&gt;0</m:t>
        </m:r>
      </m:oMath>
      <w:r w:rsidR="0009485F" w:rsidRPr="00257BE6">
        <w:rPr>
          <w:rFonts w:eastAsia="Times New Roman" w:cstheme="minorHAnsi"/>
          <w:color w:val="auto"/>
          <w:lang w:val="en-GB" w:eastAsia="en-GB"/>
        </w:rPr>
        <w:t xml:space="preserve">, in which </w:t>
      </w:r>
      <w:r w:rsidR="0009485F" w:rsidRPr="00257BE6">
        <w:rPr>
          <w:rFonts w:eastAsia="Times New Roman" w:cstheme="minorHAnsi"/>
          <w:i/>
          <w:color w:val="auto"/>
          <w:lang w:val="en-GB" w:eastAsia="en-GB"/>
        </w:rPr>
        <w:t>I</w:t>
      </w:r>
      <w:r w:rsidR="0009485F" w:rsidRPr="00257BE6">
        <w:rPr>
          <w:rFonts w:eastAsia="Times New Roman" w:cstheme="minorHAnsi"/>
          <w:color w:val="auto"/>
          <w:lang w:val="en-GB" w:eastAsia="en-GB"/>
        </w:rPr>
        <w:t>0 illustrates the initial conditions of the group of people infected by a certain epidemic disease. These initial conditions can be described as,</w:t>
      </w:r>
    </w:p>
    <w:p w:rsidR="0009485F" w:rsidRPr="00257BE6" w:rsidRDefault="0009485F" w:rsidP="00257BE6">
      <w:pPr>
        <w:jc w:val="center"/>
        <w:rPr>
          <w:rFonts w:eastAsia="Times New Roman" w:cstheme="minorHAnsi"/>
          <w:color w:val="auto"/>
          <w:lang w:val="en-GB" w:eastAsia="en-GB"/>
        </w:rPr>
      </w:pPr>
      <m:oMath>
        <m:r>
          <w:rPr>
            <w:rFonts w:ascii="Cambria Math" w:eastAsia="Times New Roman" w:hAnsi="Cambria Math" w:cstheme="minorHAnsi"/>
            <w:color w:val="auto"/>
            <w:lang w:val="en-GB" w:eastAsia="en-GB"/>
          </w:rPr>
          <m:t>S</m:t>
        </m:r>
        <m:d>
          <m:dPr>
            <m:ctrlPr>
              <w:rPr>
                <w:rFonts w:ascii="Cambria Math" w:eastAsia="Times New Roman" w:hAnsi="Cambria Math" w:cstheme="minorHAnsi"/>
                <w:i/>
                <w:color w:val="auto"/>
                <w:lang w:val="en-GB" w:eastAsia="en-GB"/>
              </w:rPr>
            </m:ctrlPr>
          </m:dPr>
          <m:e>
            <m:r>
              <w:rPr>
                <w:rFonts w:ascii="Cambria Math" w:eastAsia="Times New Roman" w:hAnsi="Cambria Math" w:cstheme="minorHAnsi"/>
                <w:color w:val="auto"/>
                <w:lang w:val="en-GB" w:eastAsia="en-GB"/>
              </w:rPr>
              <m:t>0</m:t>
            </m:r>
          </m:e>
        </m:d>
        <m:r>
          <w:rPr>
            <w:rFonts w:ascii="Cambria Math" w:eastAsia="Times New Roman" w:hAnsi="Cambria Math" w:cstheme="minorHAnsi"/>
            <w:color w:val="auto"/>
            <w:lang w:val="en-GB" w:eastAsia="en-GB"/>
          </w:rPr>
          <m:t>=</m:t>
        </m:r>
      </m:oMath>
      <w:r w:rsidRPr="00257BE6">
        <w:rPr>
          <w:rFonts w:eastAsia="Times New Roman" w:cstheme="minorHAnsi"/>
          <w:color w:val="auto"/>
          <w:lang w:val="en-GB" w:eastAsia="en-GB"/>
        </w:rPr>
        <w:t>S0&gt;0,</w:t>
      </w:r>
    </w:p>
    <w:p w:rsidR="0009485F" w:rsidRPr="00257BE6" w:rsidRDefault="0009485F" w:rsidP="00257BE6">
      <w:pPr>
        <w:jc w:val="center"/>
        <w:rPr>
          <w:rFonts w:eastAsia="Times New Roman" w:cstheme="minorHAnsi"/>
          <w:color w:val="auto"/>
          <w:lang w:val="en-GB" w:eastAsia="en-GB"/>
        </w:rPr>
      </w:pPr>
      <m:oMathPara>
        <m:oMathParaPr>
          <m:jc m:val="center"/>
        </m:oMathParaPr>
        <m:oMath>
          <m:r>
            <w:rPr>
              <w:rFonts w:ascii="Cambria Math" w:eastAsia="Times New Roman" w:hAnsi="Cambria Math" w:cstheme="minorHAnsi"/>
              <w:color w:val="auto"/>
              <w:lang w:val="en-GB" w:eastAsia="en-GB"/>
            </w:rPr>
            <m:t>I</m:t>
          </m:r>
          <m:d>
            <m:dPr>
              <m:ctrlPr>
                <w:rPr>
                  <w:rFonts w:ascii="Cambria Math" w:eastAsia="Times New Roman" w:hAnsi="Cambria Math" w:cstheme="minorHAnsi"/>
                  <w:i/>
                  <w:color w:val="auto"/>
                  <w:lang w:val="en-GB" w:eastAsia="en-GB"/>
                </w:rPr>
              </m:ctrlPr>
            </m:dPr>
            <m:e>
              <m:r>
                <w:rPr>
                  <w:rFonts w:ascii="Cambria Math" w:eastAsia="Times New Roman" w:hAnsi="Cambria Math" w:cstheme="minorHAnsi"/>
                  <w:color w:val="auto"/>
                  <w:lang w:val="en-GB" w:eastAsia="en-GB"/>
                </w:rPr>
                <m:t>0</m:t>
              </m:r>
            </m:e>
          </m:d>
          <m:r>
            <w:rPr>
              <w:rFonts w:ascii="Cambria Math" w:eastAsia="Times New Roman" w:hAnsi="Cambria Math" w:cstheme="minorHAnsi"/>
              <w:color w:val="auto"/>
              <w:lang w:val="en-GB" w:eastAsia="en-GB"/>
            </w:rPr>
            <m:t>=I0&gt;</m:t>
          </m:r>
          <m:r>
            <w:rPr>
              <w:rFonts w:ascii="Cambria Math" w:eastAsia="Times New Roman" w:hAnsi="Cambria Math" w:cstheme="minorHAnsi"/>
              <w:color w:val="auto"/>
              <w:lang w:val="en-GB" w:eastAsia="en-GB"/>
            </w:rPr>
            <m:t>0</m:t>
          </m:r>
        </m:oMath>
      </m:oMathPara>
    </w:p>
    <w:p w:rsidR="001E2015" w:rsidRPr="00257BE6" w:rsidRDefault="001E2015" w:rsidP="00257BE6">
      <w:pPr>
        <w:jc w:val="center"/>
        <w:rPr>
          <w:rFonts w:eastAsia="Times New Roman" w:cstheme="minorHAnsi"/>
          <w:color w:val="auto"/>
          <w:lang w:val="en-GB" w:eastAsia="en-GB"/>
        </w:rPr>
      </w:pPr>
      <m:oMathPara>
        <m:oMathParaPr>
          <m:jc m:val="center"/>
        </m:oMathParaPr>
        <m:oMath>
          <m:r>
            <w:rPr>
              <w:rFonts w:ascii="Cambria Math" w:eastAsia="Times New Roman" w:hAnsi="Cambria Math" w:cstheme="minorHAnsi"/>
              <w:color w:val="auto"/>
              <w:lang w:val="en-GB" w:eastAsia="en-GB"/>
            </w:rPr>
            <m:t>R(0)=</m:t>
          </m:r>
          <m:r>
            <w:rPr>
              <w:rFonts w:ascii="Cambria Math" w:eastAsia="Times New Roman" w:hAnsi="Cambria Math" w:cstheme="minorHAnsi"/>
              <w:color w:val="auto"/>
              <w:lang w:val="en-GB" w:eastAsia="en-GB"/>
            </w:rPr>
            <m:t>0</m:t>
          </m:r>
        </m:oMath>
      </m:oMathPara>
    </w:p>
    <w:p w:rsidR="0009485F" w:rsidRPr="00257BE6" w:rsidRDefault="001E2015" w:rsidP="00257BE6">
      <w:pPr>
        <w:rPr>
          <w:rFonts w:eastAsia="Times New Roman" w:cstheme="minorHAnsi"/>
          <w:color w:val="auto"/>
          <w:lang w:val="en-GB" w:eastAsia="en-GB"/>
        </w:rPr>
      </w:pPr>
      <w:r w:rsidRPr="00257BE6">
        <w:rPr>
          <w:rFonts w:eastAsia="Times New Roman" w:cstheme="minorHAnsi"/>
          <w:color w:val="auto"/>
          <w:lang w:val="en-GB" w:eastAsia="en-GB"/>
        </w:rPr>
        <w:t xml:space="preserve">To control the situation of epidemic infections the initial conditions should be combined with </w:t>
      </w:r>
      <w:r w:rsidR="00257BE6" w:rsidRPr="00257BE6">
        <w:rPr>
          <w:rFonts w:eastAsia="Times New Roman" w:cstheme="minorHAnsi"/>
          <w:color w:val="auto"/>
          <w:lang w:val="en-GB" w:eastAsia="en-GB"/>
        </w:rPr>
        <w:t>a, and</w:t>
      </w:r>
      <w:r w:rsidRPr="00257BE6">
        <w:rPr>
          <w:rFonts w:eastAsia="Times New Roman" w:cstheme="minorHAnsi"/>
          <w:color w:val="auto"/>
          <w:lang w:val="en-GB" w:eastAsia="en-GB"/>
        </w:rPr>
        <w:t xml:space="preserve"> r .This will influence the transmission of the disease. Therefore the differential function of the infected category at the initial period will be,</w:t>
      </w:r>
    </w:p>
    <w:p w:rsidR="00257BE6" w:rsidRPr="00257BE6" w:rsidRDefault="00257BE6" w:rsidP="00257BE6">
      <w:pPr>
        <w:rPr>
          <w:rFonts w:eastAsia="Times New Roman" w:cstheme="minorHAnsi"/>
          <w:color w:val="auto"/>
          <w:lang w:val="en-GB" w:eastAsia="en-GB"/>
        </w:rPr>
      </w:pPr>
      <w:r w:rsidRPr="00257BE6">
        <w:rPr>
          <w:rFonts w:eastAsia="Times New Roman" w:cstheme="minorHAnsi"/>
          <w:color w:val="auto"/>
          <w:lang w:val="en-GB" w:eastAsia="en-GB"/>
        </w:rPr>
        <w:t xml:space="preserve">[ </w:t>
      </w:r>
      <m:oMath>
        <m:f>
          <m:fPr>
            <m:ctrlPr>
              <w:rPr>
                <w:rFonts w:ascii="Cambria Math" w:eastAsia="Times New Roman" w:hAnsi="Cambria Math" w:cstheme="minorHAnsi"/>
                <w:i/>
                <w:color w:val="auto"/>
                <w:lang w:val="en-GB" w:eastAsia="en-GB"/>
              </w:rPr>
            </m:ctrlPr>
          </m:fPr>
          <m:num>
            <m:r>
              <w:rPr>
                <w:rFonts w:ascii="Cambria Math" w:eastAsia="Times New Roman" w:hAnsi="Cambria Math" w:cstheme="minorHAnsi"/>
                <w:color w:val="auto"/>
                <w:lang w:val="en-GB" w:eastAsia="en-GB"/>
              </w:rPr>
              <m:t>dI</m:t>
            </m:r>
          </m:num>
          <m:den>
            <m:r>
              <w:rPr>
                <w:rFonts w:ascii="Cambria Math" w:eastAsia="Times New Roman" w:hAnsi="Cambria Math" w:cstheme="minorHAnsi"/>
                <w:color w:val="auto"/>
                <w:lang w:val="en-GB" w:eastAsia="en-GB"/>
              </w:rPr>
              <m:t>dt</m:t>
            </m:r>
          </m:den>
        </m:f>
      </m:oMath>
      <w:r w:rsidRPr="00257BE6">
        <w:rPr>
          <w:rFonts w:eastAsia="Times New Roman" w:cstheme="minorHAnsi"/>
          <w:color w:val="auto"/>
          <w:lang w:val="en-GB" w:eastAsia="en-GB"/>
        </w:rPr>
        <w:t xml:space="preserve">] </w:t>
      </w:r>
      <w:r w:rsidRPr="00257BE6">
        <w:rPr>
          <w:rFonts w:eastAsia="Times New Roman" w:cstheme="minorHAnsi"/>
          <w:color w:val="auto"/>
          <w:vertAlign w:val="subscript"/>
          <w:lang w:val="en-GB" w:eastAsia="en-GB"/>
        </w:rPr>
        <w:t>t=0</w:t>
      </w:r>
      <w:r w:rsidRPr="00257BE6">
        <w:rPr>
          <w:rFonts w:eastAsia="Times New Roman" w:cstheme="minorHAnsi"/>
          <w:color w:val="auto"/>
          <w:lang w:val="en-GB" w:eastAsia="en-GB"/>
        </w:rPr>
        <w:t>=</w:t>
      </w:r>
      <w:r w:rsidRPr="00257BE6">
        <w:rPr>
          <w:rFonts w:eastAsia="Times New Roman" w:cstheme="minorHAnsi"/>
          <w:i/>
          <w:color w:val="auto"/>
          <w:lang w:val="en-GB" w:eastAsia="en-GB"/>
        </w:rPr>
        <w:t>I</w:t>
      </w:r>
      <w:r w:rsidRPr="00257BE6">
        <w:rPr>
          <w:rFonts w:eastAsia="Times New Roman" w:cstheme="minorHAnsi"/>
          <w:color w:val="auto"/>
          <w:lang w:val="en-GB" w:eastAsia="en-GB"/>
        </w:rPr>
        <w:t>0 (r</w:t>
      </w:r>
      <w:r w:rsidRPr="00257BE6">
        <w:rPr>
          <w:rFonts w:eastAsia="Times New Roman" w:cstheme="minorHAnsi"/>
          <w:i/>
          <w:color w:val="auto"/>
          <w:lang w:val="en-GB" w:eastAsia="en-GB"/>
        </w:rPr>
        <w:t>S</w:t>
      </w:r>
      <w:r w:rsidRPr="00257BE6">
        <w:rPr>
          <w:rFonts w:eastAsia="Times New Roman" w:cstheme="minorHAnsi"/>
          <w:color w:val="auto"/>
          <w:vertAlign w:val="subscript"/>
          <w:lang w:val="en-GB" w:eastAsia="en-GB"/>
        </w:rPr>
        <w:t>0</w:t>
      </w:r>
      <w:r w:rsidRPr="00257BE6">
        <w:rPr>
          <w:rFonts w:eastAsia="Times New Roman" w:cstheme="minorHAnsi"/>
          <w:color w:val="auto"/>
          <w:lang w:val="en-GB" w:eastAsia="en-GB"/>
        </w:rPr>
        <w:t xml:space="preserve"> − a), </w:t>
      </w:r>
      <w:r w:rsidRPr="00257BE6">
        <w:rPr>
          <w:rFonts w:eastAsia="Times New Roman" w:cstheme="minorHAnsi"/>
          <w:color w:val="auto"/>
          <w:lang w:val="en-GB" w:eastAsia="en-GB"/>
        </w:rPr>
        <w:t xml:space="preserve">the differential expression in the brackets usually controls the possible changes in </w:t>
      </w:r>
      <w:r w:rsidRPr="00257BE6">
        <w:rPr>
          <w:rFonts w:eastAsia="Times New Roman" w:cstheme="minorHAnsi"/>
          <w:i/>
          <w:color w:val="auto"/>
          <w:lang w:val="en-GB" w:eastAsia="en-GB"/>
        </w:rPr>
        <w:t>infection</w:t>
      </w:r>
      <w:r w:rsidRPr="00257BE6">
        <w:rPr>
          <w:rFonts w:eastAsia="Times New Roman" w:cstheme="minorHAnsi"/>
          <w:color w:val="auto"/>
          <w:lang w:val="en-GB" w:eastAsia="en-GB"/>
        </w:rPr>
        <w:t xml:space="preserve"> (I) </w:t>
      </w:r>
      <w:r w:rsidRPr="00257BE6">
        <w:rPr>
          <w:rFonts w:eastAsia="Times New Roman" w:cstheme="minorHAnsi"/>
          <w:color w:val="auto"/>
          <w:lang w:val="en-GB" w:eastAsia="en-GB"/>
        </w:rPr>
        <w:t xml:space="preserve">group. This differential function may increase if and only </w:t>
      </w:r>
      <w:r w:rsidRPr="00257BE6">
        <w:rPr>
          <w:rFonts w:eastAsia="Times New Roman" w:cstheme="minorHAnsi"/>
          <w:color w:val="auto"/>
          <w:lang w:val="en-GB" w:eastAsia="en-GB"/>
        </w:rPr>
        <w:lastRenderedPageBreak/>
        <w:t>if</w:t>
      </w:r>
      <m:oMath>
        <m:r>
          <w:rPr>
            <w:rFonts w:ascii="Cambria Math" w:eastAsia="Times New Roman" w:hAnsi="Cambria Math" w:cstheme="minorHAnsi"/>
            <w:color w:val="auto"/>
            <w:lang w:val="en-GB" w:eastAsia="en-GB"/>
          </w:rPr>
          <m:t xml:space="preserve"> S0&gt;</m:t>
        </m:r>
        <m:f>
          <m:fPr>
            <m:ctrlPr>
              <w:rPr>
                <w:rFonts w:ascii="Cambria Math" w:eastAsia="Times New Roman" w:hAnsi="Cambria Math" w:cstheme="minorHAnsi"/>
                <w:i/>
                <w:color w:val="auto"/>
                <w:lang w:val="en-GB" w:eastAsia="en-GB"/>
              </w:rPr>
            </m:ctrlPr>
          </m:fPr>
          <m:num>
            <m:r>
              <w:rPr>
                <w:rFonts w:ascii="Cambria Math" w:eastAsia="Times New Roman" w:hAnsi="Cambria Math" w:cstheme="minorHAnsi"/>
                <w:color w:val="auto"/>
                <w:lang w:val="en-GB" w:eastAsia="en-GB"/>
              </w:rPr>
              <m:t>a</m:t>
            </m:r>
          </m:num>
          <m:den>
            <m:r>
              <w:rPr>
                <w:rFonts w:ascii="Cambria Math" w:eastAsia="Times New Roman" w:hAnsi="Cambria Math" w:cstheme="minorHAnsi"/>
                <w:color w:val="auto"/>
                <w:lang w:val="en-GB" w:eastAsia="en-GB"/>
              </w:rPr>
              <m:t>r</m:t>
            </m:r>
          </m:den>
        </m:f>
      </m:oMath>
      <w:r w:rsidRPr="00257BE6">
        <w:rPr>
          <w:rFonts w:eastAsia="Times New Roman" w:cstheme="minorHAnsi"/>
          <w:color w:val="auto"/>
          <w:lang w:val="en-GB" w:eastAsia="en-GB"/>
        </w:rPr>
        <w:t>, which is the value of the threshold of the function. Additionally, the value of a threshold can be explained by the use of ρ,</w:t>
      </w:r>
    </w:p>
    <w:p w:rsidR="00257BE6" w:rsidRPr="00257BE6" w:rsidRDefault="00257BE6" w:rsidP="00257BE6">
      <w:pPr>
        <w:rPr>
          <w:rFonts w:eastAsia="Times New Roman" w:cstheme="minorHAnsi"/>
          <w:color w:val="auto"/>
          <w:lang w:val="en-GB" w:eastAsia="en-GB"/>
        </w:rPr>
      </w:pPr>
      <w:r w:rsidRPr="00257BE6">
        <w:rPr>
          <w:rFonts w:eastAsia="Times New Roman" w:cstheme="minorHAnsi"/>
          <w:color w:val="auto"/>
          <w:lang w:val="en-GB" w:eastAsia="en-GB"/>
        </w:rPr>
        <w:t>ρ=</w:t>
      </w:r>
      <m:oMath>
        <m:f>
          <m:fPr>
            <m:ctrlPr>
              <w:rPr>
                <w:rFonts w:ascii="Cambria Math" w:eastAsia="Times New Roman" w:hAnsi="Cambria Math" w:cstheme="minorHAnsi"/>
                <w:i/>
                <w:color w:val="auto"/>
                <w:lang w:val="en-GB" w:eastAsia="en-GB"/>
              </w:rPr>
            </m:ctrlPr>
          </m:fPr>
          <m:num>
            <m:r>
              <w:rPr>
                <w:rFonts w:ascii="Cambria Math" w:eastAsia="Times New Roman" w:hAnsi="Cambria Math" w:cstheme="minorHAnsi"/>
                <w:color w:val="auto"/>
                <w:lang w:val="en-GB" w:eastAsia="en-GB"/>
              </w:rPr>
              <m:t>a</m:t>
            </m:r>
          </m:num>
          <m:den>
            <m:r>
              <w:rPr>
                <w:rFonts w:ascii="Cambria Math" w:eastAsia="Times New Roman" w:hAnsi="Cambria Math" w:cstheme="minorHAnsi"/>
                <w:color w:val="auto"/>
                <w:lang w:val="en-GB" w:eastAsia="en-GB"/>
              </w:rPr>
              <m:t>r</m:t>
            </m:r>
          </m:den>
        </m:f>
      </m:oMath>
    </w:p>
    <w:p w:rsidR="00257BE6" w:rsidRPr="00257BE6" w:rsidRDefault="00257BE6" w:rsidP="00257BE6">
      <w:pPr>
        <w:ind w:firstLine="0"/>
        <w:rPr>
          <w:rFonts w:eastAsia="Times New Roman" w:cstheme="minorHAnsi"/>
          <w:color w:val="auto"/>
          <w:lang w:val="en-GB" w:eastAsia="en-GB"/>
        </w:rPr>
      </w:pPr>
    </w:p>
    <w:p w:rsidR="00257BE6" w:rsidRPr="00257BE6" w:rsidRDefault="00257BE6" w:rsidP="00257BE6">
      <w:pPr>
        <w:rPr>
          <w:rFonts w:eastAsia="Times New Roman" w:cstheme="minorHAnsi"/>
          <w:color w:val="auto"/>
          <w:lang w:val="en-GB" w:eastAsia="en-GB"/>
        </w:rPr>
      </w:pPr>
      <w:r w:rsidRPr="00257BE6">
        <w:rPr>
          <w:rFonts w:cstheme="minorHAnsi"/>
          <w:noProof/>
          <w:lang w:val="en-GB" w:eastAsia="en-GB"/>
        </w:rPr>
        <w:drawing>
          <wp:inline distT="0" distB="0" distL="0" distR="0" wp14:anchorId="4402D286" wp14:editId="3B5341F6">
            <wp:extent cx="4229100" cy="3352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229100" cy="3352800"/>
                    </a:xfrm>
                    <a:prstGeom prst="rect">
                      <a:avLst/>
                    </a:prstGeom>
                  </pic:spPr>
                </pic:pic>
              </a:graphicData>
            </a:graphic>
          </wp:inline>
        </w:drawing>
      </w:r>
    </w:p>
    <w:p w:rsidR="001E2015" w:rsidRPr="00257BE6" w:rsidRDefault="00257BE6" w:rsidP="00257BE6">
      <w:pPr>
        <w:rPr>
          <w:rFonts w:eastAsia="Times New Roman" w:cstheme="minorHAnsi"/>
          <w:color w:val="auto"/>
          <w:lang w:val="en-GB" w:eastAsia="en-GB"/>
        </w:rPr>
      </w:pPr>
      <w:r w:rsidRPr="00257BE6">
        <w:rPr>
          <w:rFonts w:eastAsia="Times New Roman" w:cstheme="minorHAnsi"/>
          <w:color w:val="auto"/>
          <w:lang w:val="en-GB" w:eastAsia="en-GB"/>
        </w:rPr>
        <w:t xml:space="preserve">Figure 1: </w:t>
      </w:r>
      <w:r w:rsidRPr="00257BE6">
        <w:rPr>
          <w:rFonts w:eastAsia="Times New Roman" w:cstheme="minorHAnsi"/>
          <w:b/>
          <w:color w:val="auto"/>
          <w:lang w:val="en-GB" w:eastAsia="en-GB"/>
        </w:rPr>
        <w:t>SIR model simulation</w:t>
      </w:r>
      <w:r w:rsidRPr="00257BE6">
        <w:rPr>
          <w:rFonts w:eastAsia="Times New Roman" w:cstheme="minorHAnsi"/>
          <w:color w:val="auto"/>
          <w:lang w:val="en-GB" w:eastAsia="en-GB"/>
        </w:rPr>
        <w:t xml:space="preserve"> (Li, 2009).</w:t>
      </w:r>
    </w:p>
    <w:p w:rsidR="00257BE6" w:rsidRPr="00257BE6" w:rsidRDefault="00257BE6" w:rsidP="00257BE6">
      <w:pPr>
        <w:rPr>
          <w:rFonts w:eastAsia="Times New Roman" w:cstheme="minorHAnsi"/>
          <w:color w:val="auto"/>
          <w:lang w:val="en-GB" w:eastAsia="en-GB"/>
        </w:rPr>
      </w:pPr>
      <w:r w:rsidRPr="00257BE6">
        <w:rPr>
          <w:rFonts w:eastAsia="Times New Roman" w:cstheme="minorHAnsi"/>
          <w:color w:val="auto"/>
          <w:lang w:val="en-GB" w:eastAsia="en-GB"/>
        </w:rPr>
        <w:t xml:space="preserve">Figure 1 above describes the SIR model simulation of epidemic disease beginning with the blue line. </w:t>
      </w:r>
      <w:r w:rsidRPr="00257BE6">
        <w:rPr>
          <w:rFonts w:eastAsia="Times New Roman" w:cstheme="minorHAnsi"/>
          <w:i/>
          <w:color w:val="auto"/>
          <w:lang w:val="en-GB" w:eastAsia="en-GB"/>
        </w:rPr>
        <w:t xml:space="preserve">Infection </w:t>
      </w:r>
      <w:r w:rsidRPr="00257BE6">
        <w:rPr>
          <w:rFonts w:eastAsia="Times New Roman" w:cstheme="minorHAnsi"/>
          <w:color w:val="auto"/>
          <w:lang w:val="en-GB" w:eastAsia="en-GB"/>
        </w:rPr>
        <w:t xml:space="preserve">(I) increases up to a point where </w:t>
      </w:r>
      <w:r w:rsidRPr="00257BE6">
        <w:rPr>
          <w:rFonts w:eastAsia="Times New Roman" w:cstheme="minorHAnsi"/>
          <w:i/>
          <w:color w:val="auto"/>
          <w:lang w:val="en-GB" w:eastAsia="en-GB"/>
        </w:rPr>
        <w:t>Susceptibl</w:t>
      </w:r>
      <w:r w:rsidRPr="00257BE6">
        <w:rPr>
          <w:rFonts w:eastAsia="Times New Roman" w:cstheme="minorHAnsi"/>
          <w:color w:val="auto"/>
          <w:lang w:val="en-GB" w:eastAsia="en-GB"/>
        </w:rPr>
        <w:t xml:space="preserve">e group(S) is equal </w:t>
      </w:r>
    </w:p>
    <w:p w:rsidR="00257BE6" w:rsidRPr="00257BE6" w:rsidRDefault="00257BE6" w:rsidP="00257BE6">
      <w:pPr>
        <w:ind w:firstLine="0"/>
        <w:rPr>
          <w:rFonts w:cstheme="minorHAnsi"/>
        </w:rPr>
      </w:pPr>
      <w:r w:rsidRPr="00257BE6">
        <w:rPr>
          <w:rFonts w:eastAsia="Times New Roman" w:cstheme="minorHAnsi"/>
          <w:color w:val="auto"/>
          <w:lang w:val="en-GB" w:eastAsia="en-GB"/>
        </w:rPr>
        <w:t xml:space="preserve">ρ (the value of the threshold) that is set to be 35 (Li,2009).Then value of </w:t>
      </w:r>
      <w:r w:rsidRPr="00257BE6">
        <w:rPr>
          <w:rFonts w:eastAsia="Times New Roman" w:cstheme="minorHAnsi"/>
          <w:i/>
          <w:color w:val="auto"/>
          <w:lang w:val="en-GB" w:eastAsia="en-GB"/>
        </w:rPr>
        <w:t>I</w:t>
      </w:r>
      <w:r w:rsidRPr="00257BE6">
        <w:rPr>
          <w:rFonts w:eastAsia="Times New Roman" w:cstheme="minorHAnsi"/>
          <w:color w:val="auto"/>
          <w:lang w:val="en-GB" w:eastAsia="en-GB"/>
        </w:rPr>
        <w:t xml:space="preserve"> is reduced to zero(0) In SIR model simulations in which S 0 &lt; ρ ,hence there is no any epidemic infection is attained. The situation is well illustrated by trajectories of the susceptible and infected human population as indicated in figure 1.The simulation under the SIR model indicates that infection (</w:t>
      </w:r>
      <w:r w:rsidRPr="00257BE6">
        <w:rPr>
          <w:rFonts w:eastAsia="Times New Roman" w:cstheme="minorHAnsi"/>
          <w:i/>
          <w:color w:val="auto"/>
          <w:lang w:val="en-GB" w:eastAsia="en-GB"/>
        </w:rPr>
        <w:t>I</w:t>
      </w:r>
      <w:r w:rsidRPr="00257BE6">
        <w:rPr>
          <w:rFonts w:eastAsia="Times New Roman" w:cstheme="minorHAnsi"/>
          <w:color w:val="auto"/>
          <w:lang w:val="en-GB" w:eastAsia="en-GB"/>
        </w:rPr>
        <w:t xml:space="preserve">) is more often than not based on the correlation between </w:t>
      </w:r>
      <w:r w:rsidRPr="00257BE6">
        <w:rPr>
          <w:rFonts w:cstheme="minorHAnsi"/>
        </w:rPr>
        <w:t>ρ</w:t>
      </w:r>
      <w:r w:rsidRPr="00257BE6">
        <w:rPr>
          <w:rFonts w:cstheme="minorHAnsi"/>
        </w:rPr>
        <w:t xml:space="preserve"> and S. Also, the condition is described by the rate of reproduction,</w:t>
      </w:r>
    </w:p>
    <w:p w:rsidR="00257BE6" w:rsidRPr="00257BE6" w:rsidRDefault="00257BE6" w:rsidP="00257BE6">
      <w:pPr>
        <w:rPr>
          <w:rFonts w:eastAsia="Times New Roman" w:cstheme="minorHAnsi"/>
          <w:color w:val="auto"/>
          <w:lang w:val="en-GB" w:eastAsia="en-GB"/>
        </w:rPr>
      </w:pPr>
      <w:r w:rsidRPr="00257BE6">
        <w:rPr>
          <w:rFonts w:eastAsia="Times New Roman" w:cstheme="minorHAnsi"/>
          <w:color w:val="auto"/>
          <w:lang w:val="en-GB" w:eastAsia="en-GB"/>
        </w:rPr>
        <w:lastRenderedPageBreak/>
        <w:t>R</w:t>
      </w:r>
      <w:r w:rsidRPr="00257BE6">
        <w:rPr>
          <w:rFonts w:eastAsia="Times New Roman" w:cstheme="minorHAnsi"/>
          <w:color w:val="auto"/>
          <w:vertAlign w:val="subscript"/>
          <w:lang w:val="en-GB" w:eastAsia="en-GB"/>
        </w:rPr>
        <w:t>0</w:t>
      </w:r>
      <m:oMath>
        <m:r>
          <w:rPr>
            <w:rFonts w:ascii="Cambria Math" w:eastAsia="Times New Roman" w:hAnsi="Cambria Math" w:cstheme="minorHAnsi"/>
            <w:color w:val="auto"/>
            <w:vertAlign w:val="subscript"/>
            <w:lang w:val="en-GB" w:eastAsia="en-GB"/>
          </w:rPr>
          <m:t xml:space="preserve"> =</m:t>
        </m:r>
        <m:f>
          <m:fPr>
            <m:ctrlPr>
              <w:rPr>
                <w:rFonts w:ascii="Cambria Math" w:eastAsia="Times New Roman" w:hAnsi="Cambria Math" w:cstheme="minorHAnsi"/>
                <w:i/>
                <w:color w:val="auto"/>
                <w:vertAlign w:val="subscript"/>
                <w:lang w:val="en-GB" w:eastAsia="en-GB"/>
              </w:rPr>
            </m:ctrlPr>
          </m:fPr>
          <m:num>
            <m:r>
              <w:rPr>
                <w:rFonts w:ascii="Cambria Math" w:eastAsia="Times New Roman" w:hAnsi="Cambria Math" w:cstheme="minorHAnsi"/>
                <w:color w:val="auto"/>
                <w:vertAlign w:val="subscript"/>
                <w:lang w:val="en-GB" w:eastAsia="en-GB"/>
              </w:rPr>
              <m:t>rS0</m:t>
            </m:r>
          </m:num>
          <m:den>
            <m:r>
              <w:rPr>
                <w:rFonts w:ascii="Cambria Math" w:eastAsia="Times New Roman" w:hAnsi="Cambria Math" w:cstheme="minorHAnsi"/>
                <w:color w:val="auto"/>
                <w:vertAlign w:val="subscript"/>
                <w:lang w:val="en-GB" w:eastAsia="en-GB"/>
              </w:rPr>
              <m:t>a</m:t>
            </m:r>
          </m:den>
        </m:f>
      </m:oMath>
      <w:r w:rsidRPr="00257BE6">
        <w:rPr>
          <w:rFonts w:eastAsia="Times New Roman" w:cstheme="minorHAnsi"/>
          <w:color w:val="auto"/>
          <w:vertAlign w:val="subscript"/>
          <w:lang w:val="en-GB" w:eastAsia="en-GB"/>
        </w:rPr>
        <w:t xml:space="preserve">  </w:t>
      </w:r>
      <w:r w:rsidRPr="00257BE6">
        <w:rPr>
          <w:rFonts w:eastAsia="Times New Roman" w:cstheme="minorHAnsi"/>
          <w:color w:val="auto"/>
          <w:lang w:val="en-GB" w:eastAsia="en-GB"/>
        </w:rPr>
        <w:t>, will only cause an epidemic condition if and only if R 0 &gt; 1.This type of parameter is important in the comprehension of the work regarding the infection. In order to prevent the dispersion the threshold value of R</w:t>
      </w:r>
      <w:r w:rsidRPr="00257BE6">
        <w:rPr>
          <w:rFonts w:eastAsia="Times New Roman" w:cstheme="minorHAnsi"/>
          <w:color w:val="auto"/>
          <w:vertAlign w:val="subscript"/>
          <w:lang w:val="en-GB" w:eastAsia="en-GB"/>
        </w:rPr>
        <w:t>0 &lt; 1</w:t>
      </w:r>
      <w:r w:rsidRPr="00257BE6">
        <w:rPr>
          <w:rFonts w:eastAsia="Times New Roman" w:cstheme="minorHAnsi"/>
          <w:color w:val="auto"/>
          <w:lang w:val="en-GB" w:eastAsia="en-GB"/>
        </w:rPr>
        <w:t>.An appropriate strategy to get the control of the spread of diseases by the world vaccination programmes. For instance, Smallpox, an infection that almost has been completely eradicated across the globe. This simply because of the reduction of the susceptible group of people.</w:t>
      </w:r>
    </w:p>
    <w:p w:rsidR="00257BE6" w:rsidRPr="00257BE6" w:rsidRDefault="00257BE6" w:rsidP="00257BE6">
      <w:pPr>
        <w:rPr>
          <w:rFonts w:eastAsia="Times New Roman" w:cstheme="minorHAnsi"/>
        </w:rPr>
      </w:pPr>
      <m:oMath>
        <m:f>
          <m:fPr>
            <m:ctrlPr>
              <w:rPr>
                <w:rFonts w:ascii="Cambria Math" w:eastAsia="Times New Roman" w:hAnsi="Cambria Math" w:cstheme="minorHAnsi"/>
                <w:i/>
                <w:color w:val="auto"/>
                <w:lang w:val="en-GB" w:eastAsia="en-GB"/>
              </w:rPr>
            </m:ctrlPr>
          </m:fPr>
          <m:num>
            <m:r>
              <w:rPr>
                <w:rFonts w:ascii="Cambria Math" w:eastAsia="Times New Roman" w:hAnsi="Cambria Math" w:cstheme="minorHAnsi"/>
                <w:color w:val="auto"/>
                <w:lang w:val="en-GB" w:eastAsia="en-GB"/>
              </w:rPr>
              <m:t>dI</m:t>
            </m:r>
          </m:num>
          <m:den>
            <m:r>
              <w:rPr>
                <w:rFonts w:ascii="Cambria Math" w:eastAsia="Times New Roman" w:hAnsi="Cambria Math" w:cstheme="minorHAnsi"/>
                <w:color w:val="auto"/>
                <w:lang w:val="en-GB" w:eastAsia="en-GB"/>
              </w:rPr>
              <m:t>dS</m:t>
            </m:r>
          </m:den>
        </m:f>
        <m:r>
          <w:rPr>
            <w:rFonts w:ascii="Cambria Math" w:eastAsia="Times New Roman" w:hAnsi="Cambria Math" w:cstheme="minorHAnsi"/>
            <w:color w:val="auto"/>
            <w:lang w:val="en-GB" w:eastAsia="en-GB"/>
          </w:rPr>
          <m:t>=-</m:t>
        </m:r>
        <m:f>
          <m:fPr>
            <m:ctrlPr>
              <w:rPr>
                <w:rFonts w:ascii="Cambria Math" w:eastAsia="Times New Roman" w:hAnsi="Cambria Math" w:cstheme="minorHAnsi"/>
                <w:i/>
                <w:color w:val="auto"/>
                <w:lang w:val="en-GB" w:eastAsia="en-GB"/>
              </w:rPr>
            </m:ctrlPr>
          </m:fPr>
          <m:num>
            <m:d>
              <m:dPr>
                <m:ctrlPr>
                  <w:rPr>
                    <w:rFonts w:ascii="Cambria Math" w:eastAsia="Times New Roman" w:hAnsi="Cambria Math" w:cstheme="minorHAnsi"/>
                    <w:i/>
                    <w:color w:val="auto"/>
                    <w:lang w:val="en-GB" w:eastAsia="en-GB"/>
                  </w:rPr>
                </m:ctrlPr>
              </m:dPr>
              <m:e>
                <m:r>
                  <w:rPr>
                    <w:rFonts w:ascii="Cambria Math" w:eastAsia="Times New Roman" w:hAnsi="Cambria Math" w:cstheme="minorHAnsi"/>
                    <w:color w:val="auto"/>
                    <w:lang w:val="en-GB" w:eastAsia="en-GB"/>
                  </w:rPr>
                  <m:t>rS-a</m:t>
                </m:r>
              </m:e>
            </m:d>
            <m:r>
              <w:rPr>
                <w:rFonts w:ascii="Cambria Math" w:eastAsia="Times New Roman" w:hAnsi="Cambria Math" w:cstheme="minorHAnsi"/>
                <w:color w:val="auto"/>
                <w:lang w:val="en-GB" w:eastAsia="en-GB"/>
              </w:rPr>
              <m:t>I</m:t>
            </m:r>
          </m:num>
          <m:den>
            <m:r>
              <w:rPr>
                <w:rFonts w:ascii="Cambria Math" w:eastAsia="Times New Roman" w:hAnsi="Cambria Math" w:cstheme="minorHAnsi"/>
                <w:color w:val="auto"/>
                <w:lang w:val="en-GB" w:eastAsia="en-GB"/>
              </w:rPr>
              <m:t>rSI</m:t>
            </m:r>
          </m:den>
        </m:f>
        <m:r>
          <w:rPr>
            <w:rFonts w:ascii="Cambria Math" w:eastAsia="Times New Roman" w:hAnsi="Cambria Math" w:cstheme="minorHAnsi"/>
            <w:color w:val="auto"/>
            <w:lang w:val="en-GB" w:eastAsia="en-GB"/>
          </w:rPr>
          <m:t>=-1+</m:t>
        </m:r>
        <m:f>
          <m:fPr>
            <m:ctrlPr>
              <w:rPr>
                <w:rFonts w:ascii="Cambria Math" w:eastAsia="Times New Roman" w:hAnsi="Cambria Math" w:cstheme="minorHAnsi"/>
                <w:i/>
                <w:color w:val="auto"/>
                <w:lang w:val="en-GB" w:eastAsia="en-GB"/>
              </w:rPr>
            </m:ctrlPr>
          </m:fPr>
          <m:num>
            <m:r>
              <m:rPr>
                <m:sty m:val="p"/>
              </m:rPr>
              <w:rPr>
                <w:rFonts w:ascii="Cambria Math" w:hAnsi="Cambria Math" w:cstheme="minorHAnsi"/>
              </w:rPr>
              <m:t>ρ</m:t>
            </m:r>
          </m:num>
          <m:den>
            <m:r>
              <w:rPr>
                <w:rFonts w:ascii="Cambria Math" w:eastAsia="Times New Roman" w:hAnsi="Cambria Math" w:cstheme="minorHAnsi"/>
                <w:color w:val="auto"/>
                <w:lang w:val="en-GB" w:eastAsia="en-GB"/>
              </w:rPr>
              <m:t>S</m:t>
            </m:r>
          </m:den>
        </m:f>
      </m:oMath>
      <w:r w:rsidRPr="00257BE6">
        <w:rPr>
          <w:rFonts w:eastAsia="Times New Roman" w:cstheme="minorHAnsi"/>
          <w:color w:val="auto"/>
          <w:lang w:val="en-GB" w:eastAsia="en-GB"/>
        </w:rPr>
        <w:t xml:space="preserve">,  </w:t>
      </w:r>
      <m:oMath>
        <m:r>
          <m:rPr>
            <m:sty m:val="p"/>
          </m:rPr>
          <w:rPr>
            <w:rFonts w:ascii="Cambria Math" w:hAnsi="Cambria Math" w:cstheme="minorHAnsi"/>
          </w:rPr>
          <m:t>ρ=</m:t>
        </m:r>
        <m:f>
          <m:fPr>
            <m:ctrlPr>
              <w:rPr>
                <w:rFonts w:ascii="Cambria Math" w:hAnsi="Cambria Math" w:cstheme="minorHAnsi"/>
              </w:rPr>
            </m:ctrlPr>
          </m:fPr>
          <m:num>
            <m:r>
              <m:rPr>
                <m:sty m:val="p"/>
              </m:rPr>
              <w:rPr>
                <w:rFonts w:ascii="Cambria Math" w:hAnsi="Cambria Math" w:cstheme="minorHAnsi"/>
              </w:rPr>
              <m:t>a</m:t>
            </m:r>
          </m:num>
          <m:den>
            <m:r>
              <w:rPr>
                <w:rFonts w:ascii="Cambria Math" w:hAnsi="Cambria Math" w:cstheme="minorHAnsi"/>
              </w:rPr>
              <m:t>r</m:t>
            </m:r>
          </m:den>
        </m:f>
        <m:r>
          <w:rPr>
            <w:rFonts w:ascii="Cambria Math" w:hAnsi="Cambria Math" w:cstheme="minorHAnsi"/>
          </w:rPr>
          <m:t>, whre,I≠0)</m:t>
        </m:r>
      </m:oMath>
    </w:p>
    <w:p w:rsidR="00257BE6" w:rsidRPr="00257BE6" w:rsidRDefault="00257BE6" w:rsidP="00257BE6">
      <w:pPr>
        <w:rPr>
          <w:rFonts w:eastAsia="Times New Roman" w:cstheme="minorHAnsi"/>
        </w:rPr>
      </w:pPr>
      <w:r w:rsidRPr="00257BE6">
        <w:rPr>
          <w:rFonts w:eastAsia="Times New Roman" w:cstheme="minorHAnsi"/>
        </w:rPr>
        <w:t xml:space="preserve">The singularities are assumed to lie within the axis of </w:t>
      </w:r>
      <w:r w:rsidRPr="00257BE6">
        <w:rPr>
          <w:rFonts w:eastAsia="Times New Roman" w:cstheme="minorHAnsi"/>
          <w:i/>
        </w:rPr>
        <w:t xml:space="preserve">I </w:t>
      </w:r>
      <w:r w:rsidRPr="00257BE6">
        <w:rPr>
          <w:rFonts w:eastAsia="Times New Roman" w:cstheme="minorHAnsi"/>
        </w:rPr>
        <w:t>=0.The equation of this function can be integrated to produce plane phase of various trajectories in the plane of (</w:t>
      </w:r>
      <w:r w:rsidRPr="00257BE6">
        <w:rPr>
          <w:rFonts w:eastAsia="Times New Roman" w:cstheme="minorHAnsi"/>
          <w:i/>
        </w:rPr>
        <w:t>I, S</w:t>
      </w:r>
      <w:r w:rsidRPr="00257BE6">
        <w:rPr>
          <w:rFonts w:eastAsia="Times New Roman" w:cstheme="minorHAnsi"/>
        </w:rPr>
        <w:t xml:space="preserve">) </w:t>
      </w:r>
    </w:p>
    <w:p w:rsidR="00257BE6" w:rsidRPr="00257BE6" w:rsidRDefault="00257BE6" w:rsidP="00257BE6">
      <w:pPr>
        <w:rPr>
          <w:rFonts w:eastAsia="Times New Roman" w:cstheme="minorHAnsi"/>
          <w:color w:val="auto"/>
          <w:lang w:val="en-GB" w:eastAsia="en-GB"/>
        </w:rPr>
      </w:pPr>
      <m:oMath>
        <m:r>
          <w:rPr>
            <w:rFonts w:ascii="Cambria Math" w:eastAsia="Times New Roman" w:hAnsi="Cambria Math" w:cstheme="minorHAnsi"/>
            <w:color w:val="auto"/>
            <w:lang w:val="en-GB" w:eastAsia="en-GB"/>
          </w:rPr>
          <m:t>I+S-</m:t>
        </m:r>
      </m:oMath>
      <w:r w:rsidRPr="00257BE6">
        <w:rPr>
          <w:rFonts w:eastAsia="Times New Roman" w:cstheme="minorHAnsi"/>
          <w:color w:val="auto"/>
          <w:lang w:val="en-GB" w:eastAsia="en-GB"/>
        </w:rPr>
        <w:t>ρ ln</w:t>
      </w:r>
      <w:r w:rsidRPr="00257BE6">
        <w:rPr>
          <w:rFonts w:eastAsia="Times New Roman" w:cstheme="minorHAnsi"/>
          <w:i/>
          <w:color w:val="auto"/>
          <w:lang w:val="en-GB" w:eastAsia="en-GB"/>
        </w:rPr>
        <w:t>S</w:t>
      </w:r>
      <m:oMath>
        <m:r>
          <w:rPr>
            <w:rFonts w:ascii="Cambria Math" w:eastAsia="Times New Roman" w:hAnsi="Cambria Math" w:cstheme="minorHAnsi"/>
            <w:color w:val="auto"/>
            <w:lang w:val="en-GB" w:eastAsia="en-GB"/>
          </w:rPr>
          <m:t xml:space="preserve">=Constant= </m:t>
        </m:r>
      </m:oMath>
      <w:r w:rsidRPr="00257BE6">
        <w:rPr>
          <w:rFonts w:eastAsia="Times New Roman" w:cstheme="minorHAnsi"/>
          <w:i/>
          <w:color w:val="auto"/>
          <w:lang w:val="en-GB" w:eastAsia="en-GB"/>
        </w:rPr>
        <w:t>I</w:t>
      </w:r>
      <w:r w:rsidRPr="00257BE6">
        <w:rPr>
          <w:rFonts w:eastAsia="Times New Roman" w:cstheme="minorHAnsi"/>
          <w:color w:val="auto"/>
          <w:lang w:val="en-GB" w:eastAsia="en-GB"/>
        </w:rPr>
        <w:t>0+</w:t>
      </w:r>
      <w:r w:rsidRPr="00257BE6">
        <w:rPr>
          <w:rFonts w:eastAsia="Times New Roman" w:cstheme="minorHAnsi"/>
          <w:i/>
          <w:color w:val="auto"/>
          <w:lang w:val="en-GB" w:eastAsia="en-GB"/>
        </w:rPr>
        <w:t>S</w:t>
      </w:r>
      <w:r w:rsidRPr="00257BE6">
        <w:rPr>
          <w:rFonts w:eastAsia="Times New Roman" w:cstheme="minorHAnsi"/>
          <w:color w:val="auto"/>
          <w:lang w:val="en-GB" w:eastAsia="en-GB"/>
        </w:rPr>
        <w:t>0−ρ ln</w:t>
      </w:r>
      <w:r w:rsidRPr="00257BE6">
        <w:rPr>
          <w:rFonts w:eastAsia="Times New Roman" w:cstheme="minorHAnsi"/>
          <w:i/>
          <w:color w:val="auto"/>
          <w:lang w:val="en-GB" w:eastAsia="en-GB"/>
        </w:rPr>
        <w:t>S</w:t>
      </w:r>
      <w:r w:rsidRPr="00257BE6">
        <w:rPr>
          <w:rFonts w:eastAsia="Times New Roman" w:cstheme="minorHAnsi"/>
          <w:color w:val="auto"/>
          <w:lang w:val="en-GB" w:eastAsia="en-GB"/>
        </w:rPr>
        <w:t>0</w:t>
      </w:r>
    </w:p>
    <w:p w:rsidR="00257BE6" w:rsidRPr="00257BE6" w:rsidRDefault="00257BE6" w:rsidP="00257BE6">
      <w:pPr>
        <w:rPr>
          <w:rFonts w:eastAsia="Times New Roman" w:cstheme="minorHAnsi"/>
          <w:color w:val="auto"/>
          <w:lang w:val="en-GB" w:eastAsia="en-GB"/>
        </w:rPr>
      </w:pPr>
      <w:r w:rsidRPr="00257BE6">
        <w:rPr>
          <w:rFonts w:eastAsia="Times New Roman" w:cstheme="minorHAnsi"/>
          <w:color w:val="auto"/>
          <w:lang w:val="en-GB" w:eastAsia="en-GB"/>
        </w:rPr>
        <w:t>All the values of the initial conditions fulfil the parameters of I 0 + S 0 =</w:t>
      </w:r>
      <m:oMath>
        <m:r>
          <w:rPr>
            <w:rFonts w:ascii="Cambria Math" w:eastAsia="Times New Roman" w:hAnsi="Cambria Math" w:cstheme="minorHAnsi"/>
            <w:color w:val="auto"/>
            <w:lang w:val="en-GB" w:eastAsia="en-GB"/>
          </w:rPr>
          <m:t>N</m:t>
        </m:r>
      </m:oMath>
      <w:r w:rsidRPr="00257BE6">
        <w:rPr>
          <w:rFonts w:eastAsia="Times New Roman" w:cstheme="minorHAnsi"/>
          <w:color w:val="auto"/>
          <w:lang w:val="en-GB" w:eastAsia="en-GB"/>
        </w:rPr>
        <w:t xml:space="preserve"> because</w:t>
      </w:r>
      <m:oMath>
        <m:r>
          <w:rPr>
            <w:rFonts w:ascii="Cambria Math" w:eastAsia="Times New Roman" w:hAnsi="Cambria Math" w:cstheme="minorHAnsi"/>
            <w:color w:val="auto"/>
            <w:lang w:val="en-GB" w:eastAsia="en-GB"/>
          </w:rPr>
          <m:t xml:space="preserve"> R</m:t>
        </m:r>
        <m:d>
          <m:dPr>
            <m:ctrlPr>
              <w:rPr>
                <w:rFonts w:ascii="Cambria Math" w:eastAsia="Times New Roman" w:hAnsi="Cambria Math" w:cstheme="minorHAnsi"/>
                <w:i/>
                <w:color w:val="auto"/>
                <w:lang w:val="en-GB" w:eastAsia="en-GB"/>
              </w:rPr>
            </m:ctrlPr>
          </m:dPr>
          <m:e>
            <m:r>
              <w:rPr>
                <w:rFonts w:ascii="Cambria Math" w:eastAsia="Times New Roman" w:hAnsi="Cambria Math" w:cstheme="minorHAnsi"/>
                <w:color w:val="auto"/>
                <w:lang w:val="en-GB" w:eastAsia="en-GB"/>
              </w:rPr>
              <m:t>0</m:t>
            </m:r>
          </m:e>
        </m:d>
        <m:r>
          <w:rPr>
            <w:rFonts w:ascii="Cambria Math" w:eastAsia="Times New Roman" w:hAnsi="Cambria Math" w:cstheme="minorHAnsi"/>
            <w:color w:val="auto"/>
            <w:lang w:val="en-GB" w:eastAsia="en-GB"/>
          </w:rPr>
          <m:t>=0</m:t>
        </m:r>
      </m:oMath>
      <w:r w:rsidRPr="00257BE6">
        <w:rPr>
          <w:rFonts w:eastAsia="Times New Roman" w:cstheme="minorHAnsi"/>
          <w:color w:val="auto"/>
          <w:lang w:val="en-GB" w:eastAsia="en-GB"/>
        </w:rPr>
        <w:t xml:space="preserve">, but this usually change at where </w:t>
      </w:r>
      <m:oMath>
        <m:r>
          <w:rPr>
            <w:rFonts w:ascii="Cambria Math" w:eastAsia="Times New Roman" w:hAnsi="Cambria Math" w:cstheme="minorHAnsi"/>
            <w:color w:val="auto"/>
            <w:lang w:val="en-GB" w:eastAsia="en-GB"/>
          </w:rPr>
          <m:t>t &gt;0</m:t>
        </m:r>
      </m:oMath>
      <w:r w:rsidRPr="00257BE6">
        <w:rPr>
          <w:rFonts w:eastAsia="Times New Roman" w:cstheme="minorHAnsi"/>
          <w:color w:val="auto"/>
          <w:lang w:val="en-GB" w:eastAsia="en-GB"/>
        </w:rPr>
        <w:t xml:space="preserve"> .</w:t>
      </w:r>
    </w:p>
    <w:p w:rsidR="00257BE6" w:rsidRPr="00257BE6" w:rsidRDefault="00257BE6" w:rsidP="00257BE6">
      <w:pPr>
        <w:rPr>
          <w:rFonts w:eastAsia="Times New Roman" w:cstheme="minorHAnsi"/>
          <w:color w:val="auto"/>
          <w:lang w:val="en-GB" w:eastAsia="en-GB"/>
        </w:rPr>
      </w:pPr>
      <w:r w:rsidRPr="00257BE6">
        <w:rPr>
          <w:rFonts w:eastAsia="Times New Roman" w:cstheme="minorHAnsi"/>
          <w:color w:val="auto"/>
          <w:lang w:val="en-GB" w:eastAsia="en-GB"/>
        </w:rPr>
        <w:t>If the infection occurs it vital to evaluate and understand the severity of the infection and the probability of growing to the epidemic infection. Hence it is important to understand the Imax (maximum value) which happens in a situation in which</w:t>
      </w:r>
      <m:oMath>
        <m:r>
          <w:rPr>
            <w:rFonts w:ascii="Cambria Math" w:eastAsia="Times New Roman" w:hAnsi="Cambria Math" w:cstheme="minorHAnsi"/>
            <w:color w:val="auto"/>
            <w:lang w:val="en-GB" w:eastAsia="en-GB"/>
          </w:rPr>
          <m:t xml:space="preserve"> S=ρ</m:t>
        </m:r>
      </m:oMath>
      <w:r w:rsidRPr="00257BE6">
        <w:rPr>
          <w:rFonts w:eastAsia="Times New Roman" w:cstheme="minorHAnsi"/>
          <w:color w:val="auto"/>
          <w:lang w:val="en-GB" w:eastAsia="en-GB"/>
        </w:rPr>
        <w:t>, where</w:t>
      </w:r>
      <m:oMath>
        <m:f>
          <m:fPr>
            <m:ctrlPr>
              <w:rPr>
                <w:rFonts w:ascii="Cambria Math" w:eastAsia="Times New Roman" w:hAnsi="Cambria Math" w:cstheme="minorHAnsi"/>
                <w:i/>
                <w:color w:val="auto"/>
                <w:lang w:val="en-GB" w:eastAsia="en-GB"/>
              </w:rPr>
            </m:ctrlPr>
          </m:fPr>
          <m:num>
            <m:r>
              <w:rPr>
                <w:rFonts w:ascii="Cambria Math" w:eastAsia="Times New Roman" w:hAnsi="Cambria Math" w:cstheme="minorHAnsi"/>
                <w:color w:val="auto"/>
                <w:lang w:val="en-GB" w:eastAsia="en-GB"/>
              </w:rPr>
              <m:t>dI</m:t>
            </m:r>
          </m:num>
          <m:den>
            <m:r>
              <w:rPr>
                <w:rFonts w:ascii="Cambria Math" w:eastAsia="Times New Roman" w:hAnsi="Cambria Math" w:cstheme="minorHAnsi"/>
                <w:color w:val="auto"/>
                <w:lang w:val="en-GB" w:eastAsia="en-GB"/>
              </w:rPr>
              <m:t>dt</m:t>
            </m:r>
          </m:den>
        </m:f>
        <m:r>
          <w:rPr>
            <w:rFonts w:ascii="Cambria Math" w:eastAsia="Times New Roman" w:hAnsi="Cambria Math" w:cstheme="minorHAnsi"/>
            <w:color w:val="auto"/>
            <w:lang w:val="en-GB" w:eastAsia="en-GB"/>
          </w:rPr>
          <m:t>=0</m:t>
        </m:r>
      </m:oMath>
      <w:r w:rsidRPr="00257BE6">
        <w:rPr>
          <w:rFonts w:eastAsia="Times New Roman" w:cstheme="minorHAnsi"/>
          <w:color w:val="auto"/>
          <w:lang w:val="en-GB" w:eastAsia="en-GB"/>
        </w:rPr>
        <w:t>.</w:t>
      </w:r>
    </w:p>
    <w:p w:rsidR="00257BE6" w:rsidRPr="00257BE6" w:rsidRDefault="00257BE6" w:rsidP="00257BE6">
      <w:pPr>
        <w:rPr>
          <w:rFonts w:eastAsia="Times New Roman" w:cstheme="minorHAnsi"/>
          <w:color w:val="auto"/>
          <w:lang w:val="en-GB" w:eastAsia="en-GB"/>
        </w:rPr>
      </w:pPr>
      <m:oMathPara>
        <m:oMath>
          <m:r>
            <w:rPr>
              <w:rFonts w:ascii="Cambria Math" w:eastAsia="Times New Roman" w:hAnsi="Cambria Math" w:cstheme="minorHAnsi"/>
              <w:color w:val="auto"/>
              <w:lang w:val="en-GB" w:eastAsia="en-GB"/>
            </w:rPr>
            <m:t>I+S-ρlnS=I0+S0-ρlnS0</m:t>
          </m:r>
        </m:oMath>
      </m:oMathPara>
    </w:p>
    <w:p w:rsidR="00257BE6" w:rsidRPr="00257BE6" w:rsidRDefault="00257BE6" w:rsidP="00257BE6">
      <w:pPr>
        <w:rPr>
          <w:rFonts w:eastAsia="Times New Roman" w:cstheme="minorHAnsi"/>
          <w:color w:val="auto"/>
          <w:vertAlign w:val="subscript"/>
          <w:lang w:val="en-GB" w:eastAsia="en-GB"/>
        </w:rPr>
      </w:pPr>
      <w:r w:rsidRPr="00257BE6">
        <w:rPr>
          <w:rFonts w:eastAsia="Times New Roman" w:cstheme="minorHAnsi"/>
          <w:i/>
          <w:color w:val="auto"/>
          <w:lang w:val="en-GB" w:eastAsia="en-GB"/>
        </w:rPr>
        <w:t xml:space="preserve">                                I</w:t>
      </w:r>
      <w:r w:rsidRPr="00257BE6">
        <w:rPr>
          <w:rFonts w:eastAsia="Times New Roman" w:cstheme="minorHAnsi"/>
          <w:color w:val="auto"/>
          <w:vertAlign w:val="subscript"/>
          <w:lang w:val="en-GB" w:eastAsia="en-GB"/>
        </w:rPr>
        <w:t xml:space="preserve">max </w:t>
      </w:r>
      <m:oMath>
        <m:r>
          <w:rPr>
            <w:rFonts w:ascii="Cambria Math" w:eastAsia="Times New Roman" w:hAnsi="Cambria Math" w:cstheme="minorHAnsi"/>
            <w:color w:val="auto"/>
            <w:vertAlign w:val="subscript"/>
            <w:lang w:val="en-GB" w:eastAsia="en-GB"/>
          </w:rPr>
          <m:t>+ρ-ρlnρ=I0+S0-ρlnS0</m:t>
        </m:r>
      </m:oMath>
    </w:p>
    <w:p w:rsidR="00257BE6" w:rsidRPr="00257BE6" w:rsidRDefault="00257BE6" w:rsidP="00257BE6">
      <w:pPr>
        <w:rPr>
          <w:rFonts w:eastAsia="Times New Roman" w:cstheme="minorHAnsi"/>
          <w:color w:val="auto"/>
          <w:vertAlign w:val="subscript"/>
          <w:lang w:val="en-GB" w:eastAsia="en-GB"/>
        </w:rPr>
      </w:pPr>
      <w:r w:rsidRPr="00257BE6">
        <w:rPr>
          <w:rFonts w:eastAsia="Times New Roman" w:cstheme="minorHAnsi"/>
          <w:i/>
          <w:color w:val="auto"/>
          <w:vertAlign w:val="subscript"/>
          <w:lang w:val="en-GB" w:eastAsia="en-GB"/>
        </w:rPr>
        <w:t xml:space="preserve">                                                                 I</w:t>
      </w:r>
      <w:r w:rsidRPr="00257BE6">
        <w:rPr>
          <w:rFonts w:eastAsia="Times New Roman" w:cstheme="minorHAnsi"/>
          <w:color w:val="auto"/>
          <w:vertAlign w:val="subscript"/>
          <w:lang w:val="en-GB" w:eastAsia="en-GB"/>
        </w:rPr>
        <w:t xml:space="preserve"> max</w:t>
      </w:r>
      <m:oMath>
        <m:r>
          <w:rPr>
            <w:rFonts w:ascii="Cambria Math" w:eastAsia="Times New Roman" w:hAnsi="Cambria Math" w:cstheme="minorHAnsi"/>
            <w:color w:val="auto"/>
            <w:vertAlign w:val="subscript"/>
            <w:lang w:val="en-GB" w:eastAsia="en-GB"/>
          </w:rPr>
          <m:t>-ρ+ρlnρ+I0+S0-ρlnS0</m:t>
        </m:r>
      </m:oMath>
      <w:r w:rsidRPr="00257BE6">
        <w:rPr>
          <w:rFonts w:eastAsia="Times New Roman" w:cstheme="minorHAnsi"/>
          <w:color w:val="auto"/>
          <w:vertAlign w:val="subscript"/>
          <w:lang w:val="en-GB" w:eastAsia="en-GB"/>
        </w:rPr>
        <w:t xml:space="preserve"> </w:t>
      </w:r>
    </w:p>
    <w:p w:rsidR="00257BE6" w:rsidRDefault="00257BE6" w:rsidP="00257BE6">
      <w:pPr>
        <w:rPr>
          <w:rFonts w:eastAsia="Times New Roman" w:cstheme="minorHAnsi"/>
          <w:i/>
          <w:color w:val="auto"/>
          <w:vertAlign w:val="subscript"/>
          <w:lang w:val="en-GB" w:eastAsia="en-GB"/>
        </w:rPr>
      </w:pPr>
      <w:r w:rsidRPr="00257BE6">
        <w:rPr>
          <w:rFonts w:eastAsia="Times New Roman" w:cstheme="minorHAnsi"/>
          <w:i/>
          <w:color w:val="auto"/>
          <w:vertAlign w:val="subscript"/>
          <w:lang w:val="en-GB" w:eastAsia="en-GB"/>
        </w:rPr>
        <w:t xml:space="preserve">                                                                       Imax= </w:t>
      </w:r>
      <m:oMath>
        <m:r>
          <w:rPr>
            <w:rFonts w:ascii="Cambria Math" w:eastAsia="Times New Roman" w:hAnsi="Cambria Math" w:cstheme="minorHAnsi"/>
            <w:color w:val="auto"/>
            <w:vertAlign w:val="subscript"/>
            <w:lang w:val="en-GB" w:eastAsia="en-GB"/>
          </w:rPr>
          <m:t>N-ρ+ρ+ρln</m:t>
        </m:r>
        <m:f>
          <m:fPr>
            <m:ctrlPr>
              <w:rPr>
                <w:rFonts w:ascii="Cambria Math" w:eastAsia="Times New Roman" w:hAnsi="Cambria Math" w:cstheme="minorHAnsi"/>
                <w:i/>
                <w:color w:val="auto"/>
                <w:vertAlign w:val="subscript"/>
                <w:lang w:val="en-GB" w:eastAsia="en-GB"/>
              </w:rPr>
            </m:ctrlPr>
          </m:fPr>
          <m:num>
            <m:r>
              <w:rPr>
                <w:rFonts w:ascii="Cambria Math" w:eastAsia="Times New Roman" w:hAnsi="Cambria Math" w:cstheme="minorHAnsi"/>
                <w:color w:val="auto"/>
                <w:vertAlign w:val="subscript"/>
                <w:lang w:val="en-GB" w:eastAsia="en-GB"/>
              </w:rPr>
              <m:t>ρ</m:t>
            </m:r>
          </m:num>
          <m:den>
            <m:r>
              <w:rPr>
                <w:rFonts w:ascii="Cambria Math" w:eastAsia="Times New Roman" w:hAnsi="Cambria Math" w:cstheme="minorHAnsi"/>
                <w:color w:val="auto"/>
                <w:vertAlign w:val="subscript"/>
                <w:lang w:val="en-GB" w:eastAsia="en-GB"/>
              </w:rPr>
              <m:t>S0</m:t>
            </m:r>
          </m:den>
        </m:f>
      </m:oMath>
      <w:r w:rsidRPr="00257BE6">
        <w:rPr>
          <w:rFonts w:eastAsia="Times New Roman" w:cstheme="minorHAnsi"/>
          <w:i/>
          <w:color w:val="auto"/>
          <w:vertAlign w:val="subscript"/>
          <w:lang w:val="en-GB" w:eastAsia="en-GB"/>
        </w:rPr>
        <w:t xml:space="preserve"> </w:t>
      </w:r>
    </w:p>
    <w:p w:rsidR="00257BE6" w:rsidRDefault="00257BE6" w:rsidP="00257BE6">
      <w:pPr>
        <w:rPr>
          <w:rFonts w:eastAsia="Times New Roman" w:cstheme="minorHAnsi"/>
          <w:i/>
          <w:color w:val="auto"/>
          <w:vertAlign w:val="subscript"/>
          <w:lang w:val="en-GB" w:eastAsia="en-GB"/>
        </w:rPr>
      </w:pPr>
    </w:p>
    <w:sdt>
      <w:sdtPr>
        <w:rPr>
          <w:rFonts w:asciiTheme="minorHAnsi" w:eastAsiaTheme="minorEastAsia" w:hAnsiTheme="minorHAnsi" w:cstheme="minorHAnsi"/>
        </w:rPr>
        <w:id w:val="-1096949615"/>
        <w:docPartObj>
          <w:docPartGallery w:val="Bibliographies"/>
          <w:docPartUnique/>
        </w:docPartObj>
      </w:sdtPr>
      <w:sdtContent>
        <w:p w:rsidR="00097169" w:rsidRPr="00257BE6" w:rsidRDefault="00097169" w:rsidP="00257BE6">
          <w:pPr>
            <w:pStyle w:val="SectionTitle"/>
            <w:rPr>
              <w:rFonts w:asciiTheme="minorHAnsi" w:hAnsiTheme="minorHAnsi" w:cstheme="minorHAnsi"/>
            </w:rPr>
          </w:pPr>
          <w:r w:rsidRPr="00257BE6">
            <w:rPr>
              <w:rFonts w:asciiTheme="minorHAnsi" w:hAnsiTheme="minorHAnsi" w:cstheme="minorHAnsi"/>
            </w:rPr>
            <w:t>References</w:t>
          </w:r>
        </w:p>
        <w:p w:rsidR="005E5D13" w:rsidRPr="00257BE6" w:rsidRDefault="005E5D13" w:rsidP="00257BE6">
          <w:pPr>
            <w:spacing w:before="100" w:beforeAutospacing="1" w:after="100" w:afterAutospacing="1"/>
            <w:ind w:left="1004" w:hanging="720"/>
            <w:contextualSpacing/>
            <w:rPr>
              <w:rFonts w:eastAsia="Times New Roman" w:cstheme="minorHAnsi"/>
              <w:color w:val="auto"/>
              <w:lang w:val="en-GB" w:eastAsia="en-GB"/>
            </w:rPr>
          </w:pPr>
          <w:r w:rsidRPr="00257BE6">
            <w:rPr>
              <w:rFonts w:eastAsia="Times New Roman" w:cstheme="minorHAnsi"/>
              <w:color w:val="auto"/>
              <w:lang w:val="en-GB" w:eastAsia="en-GB"/>
            </w:rPr>
            <w:t xml:space="preserve">Hjorth-Jensen, M. (2011). Computational physics. </w:t>
          </w:r>
          <w:r w:rsidRPr="00257BE6">
            <w:rPr>
              <w:rFonts w:eastAsia="Times New Roman" w:cstheme="minorHAnsi"/>
              <w:i/>
              <w:iCs/>
              <w:color w:val="auto"/>
              <w:lang w:val="en-GB" w:eastAsia="en-GB"/>
            </w:rPr>
            <w:t>Lecture notes</w:t>
          </w:r>
          <w:r w:rsidRPr="00257BE6">
            <w:rPr>
              <w:rFonts w:eastAsia="Times New Roman" w:cstheme="minorHAnsi"/>
              <w:color w:val="auto"/>
              <w:lang w:val="en-GB" w:eastAsia="en-GB"/>
            </w:rPr>
            <w:t>.</w:t>
          </w:r>
        </w:p>
        <w:p w:rsidR="005E5D13" w:rsidRPr="00257BE6" w:rsidRDefault="005E5D13" w:rsidP="00257BE6">
          <w:pPr>
            <w:spacing w:before="100" w:beforeAutospacing="1" w:after="100" w:afterAutospacing="1"/>
            <w:ind w:firstLine="0"/>
            <w:contextualSpacing/>
            <w:rPr>
              <w:rFonts w:eastAsia="Times New Roman" w:cstheme="minorHAnsi"/>
              <w:color w:val="auto"/>
              <w:lang w:val="en-GB" w:eastAsia="en-GB"/>
            </w:rPr>
          </w:pPr>
          <w:r w:rsidRPr="00257BE6">
            <w:rPr>
              <w:rFonts w:eastAsia="Times New Roman" w:cstheme="minorHAnsi"/>
              <w:color w:val="auto"/>
              <w:lang w:val="en-GB" w:eastAsia="en-GB"/>
            </w:rPr>
            <w:t xml:space="preserve">Langtangen, H. P., Mardal, K. A., &amp; Røtnes, P. (2013). Escaping the zombie threat by mathematics. </w:t>
          </w:r>
          <w:r w:rsidRPr="00257BE6">
            <w:rPr>
              <w:rFonts w:eastAsia="Times New Roman" w:cstheme="minorHAnsi"/>
              <w:i/>
              <w:iCs/>
              <w:color w:val="auto"/>
              <w:lang w:val="en-GB" w:eastAsia="en-GB"/>
            </w:rPr>
            <w:t>Zombies in the Academy-Living Death in Higher Education</w:t>
          </w:r>
          <w:r w:rsidRPr="00257BE6">
            <w:rPr>
              <w:rFonts w:eastAsia="Times New Roman" w:cstheme="minorHAnsi"/>
              <w:color w:val="auto"/>
              <w:lang w:val="en-GB" w:eastAsia="en-GB"/>
            </w:rPr>
            <w:t>.</w:t>
          </w:r>
        </w:p>
        <w:p w:rsidR="005E5D13" w:rsidRPr="00257BE6" w:rsidRDefault="005E5D13" w:rsidP="00257BE6">
          <w:pPr>
            <w:spacing w:before="100" w:beforeAutospacing="1" w:after="100" w:afterAutospacing="1"/>
            <w:ind w:left="1004" w:hanging="720"/>
            <w:contextualSpacing/>
            <w:rPr>
              <w:rFonts w:cstheme="minorHAnsi"/>
            </w:rPr>
          </w:pPr>
        </w:p>
        <w:sdt>
          <w:sdtPr>
            <w:rPr>
              <w:rFonts w:cstheme="minorHAnsi"/>
            </w:rPr>
            <w:id w:val="-573587230"/>
            <w:bibliography/>
          </w:sdtPr>
          <w:sdtContent>
            <w:p w:rsidR="005E5D13" w:rsidRPr="00257BE6" w:rsidRDefault="005E5D13" w:rsidP="00257BE6">
              <w:pPr>
                <w:spacing w:before="100" w:beforeAutospacing="1" w:after="100" w:afterAutospacing="1"/>
                <w:ind w:firstLine="0"/>
                <w:contextualSpacing/>
                <w:rPr>
                  <w:rFonts w:eastAsia="Times New Roman" w:cstheme="minorHAnsi"/>
                  <w:color w:val="auto"/>
                  <w:lang w:val="en-GB" w:eastAsia="en-GB"/>
                </w:rPr>
              </w:pPr>
              <w:r w:rsidRPr="00257BE6">
                <w:rPr>
                  <w:rFonts w:eastAsia="Times New Roman" w:cstheme="minorHAnsi"/>
                  <w:color w:val="auto"/>
                  <w:lang w:val="en-GB" w:eastAsia="en-GB"/>
                </w:rPr>
                <w:t xml:space="preserve">Li, J. (2009). Ordinary Differential Equations Epidemic Models. In </w:t>
              </w:r>
              <w:r w:rsidRPr="00257BE6">
                <w:rPr>
                  <w:rFonts w:eastAsia="Times New Roman" w:cstheme="minorHAnsi"/>
                  <w:i/>
                  <w:iCs/>
                  <w:color w:val="auto"/>
                  <w:lang w:val="en-GB" w:eastAsia="en-GB"/>
                </w:rPr>
                <w:t>Dynamical Modeling And Analysis Of Epidemics</w:t>
              </w:r>
              <w:r w:rsidRPr="00257BE6">
                <w:rPr>
                  <w:rFonts w:eastAsia="Times New Roman" w:cstheme="minorHAnsi"/>
                  <w:color w:val="auto"/>
                  <w:lang w:val="en-GB" w:eastAsia="en-GB"/>
                </w:rPr>
                <w:t xml:space="preserve"> (pp. 83-200).</w:t>
              </w:r>
            </w:p>
            <w:p w:rsidR="005E5D13" w:rsidRPr="00257BE6" w:rsidRDefault="005E5D13" w:rsidP="00257BE6">
              <w:pPr>
                <w:spacing w:before="100" w:beforeAutospacing="1" w:after="100" w:afterAutospacing="1"/>
                <w:ind w:left="1004" w:hanging="720"/>
                <w:contextualSpacing/>
                <w:rPr>
                  <w:rFonts w:eastAsia="Times New Roman" w:cstheme="minorHAnsi"/>
                  <w:color w:val="auto"/>
                  <w:lang w:val="en-GB" w:eastAsia="en-GB"/>
                </w:rPr>
              </w:pPr>
              <w:r w:rsidRPr="00257BE6">
                <w:rPr>
                  <w:rFonts w:eastAsia="Times New Roman" w:cstheme="minorHAnsi"/>
                  <w:color w:val="auto"/>
                  <w:lang w:val="en-GB" w:eastAsia="en-GB"/>
                </w:rPr>
                <w:t xml:space="preserve">Munz, P., Hudea, I., Imad, J., &amp; Smith, R. J. (2009). When zombies attack!: mathematical modelling of an outbreak of zombie infection. </w:t>
              </w:r>
              <w:r w:rsidRPr="00257BE6">
                <w:rPr>
                  <w:rFonts w:eastAsia="Times New Roman" w:cstheme="minorHAnsi"/>
                  <w:i/>
                  <w:iCs/>
                  <w:color w:val="auto"/>
                  <w:lang w:val="en-GB" w:eastAsia="en-GB"/>
                </w:rPr>
                <w:t>Infectious disease modelling research progress</w:t>
              </w:r>
              <w:r w:rsidRPr="00257BE6">
                <w:rPr>
                  <w:rFonts w:eastAsia="Times New Roman" w:cstheme="minorHAnsi"/>
                  <w:color w:val="auto"/>
                  <w:lang w:val="en-GB" w:eastAsia="en-GB"/>
                </w:rPr>
                <w:t xml:space="preserve">, </w:t>
              </w:r>
              <w:r w:rsidRPr="00257BE6">
                <w:rPr>
                  <w:rFonts w:eastAsia="Times New Roman" w:cstheme="minorHAnsi"/>
                  <w:i/>
                  <w:iCs/>
                  <w:color w:val="auto"/>
                  <w:lang w:val="en-GB" w:eastAsia="en-GB"/>
                </w:rPr>
                <w:t>4</w:t>
              </w:r>
              <w:r w:rsidRPr="00257BE6">
                <w:rPr>
                  <w:rFonts w:eastAsia="Times New Roman" w:cstheme="minorHAnsi"/>
                  <w:color w:val="auto"/>
                  <w:lang w:val="en-GB" w:eastAsia="en-GB"/>
                </w:rPr>
                <w:t>, 133-150.</w:t>
              </w:r>
            </w:p>
            <w:p w:rsidR="00097169" w:rsidRPr="00257BE6" w:rsidRDefault="00097169" w:rsidP="00257BE6">
              <w:pPr>
                <w:pStyle w:val="Bibliography"/>
                <w:rPr>
                  <w:rFonts w:cstheme="minorHAnsi"/>
                </w:rPr>
              </w:pPr>
            </w:p>
            <w:p w:rsidR="00097169" w:rsidRPr="00257BE6" w:rsidRDefault="00665134" w:rsidP="00257BE6">
              <w:pPr>
                <w:rPr>
                  <w:rFonts w:cstheme="minorHAnsi"/>
                </w:rPr>
              </w:pPr>
            </w:p>
          </w:sdtContent>
        </w:sdt>
      </w:sdtContent>
    </w:sdt>
    <w:bookmarkEnd w:id="0" w:displacedByCustomXml="prev"/>
    <w:sectPr w:rsidR="00097169" w:rsidRPr="00257BE6">
      <w:headerReference w:type="default" r:id="rId10"/>
      <w:headerReference w:type="first" r:id="rId11"/>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5B6B" w:rsidRDefault="00025B6B">
      <w:pPr>
        <w:spacing w:line="240" w:lineRule="auto"/>
      </w:pPr>
      <w:r>
        <w:separator/>
      </w:r>
    </w:p>
    <w:p w:rsidR="00025B6B" w:rsidRDefault="00025B6B"/>
  </w:endnote>
  <w:endnote w:type="continuationSeparator" w:id="0">
    <w:p w:rsidR="00025B6B" w:rsidRDefault="00025B6B">
      <w:pPr>
        <w:spacing w:line="240" w:lineRule="auto"/>
      </w:pPr>
      <w:r>
        <w:continuationSeparator/>
      </w:r>
    </w:p>
    <w:p w:rsidR="00025B6B" w:rsidRDefault="00025B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5B6B" w:rsidRDefault="00025B6B">
      <w:pPr>
        <w:spacing w:line="240" w:lineRule="auto"/>
      </w:pPr>
      <w:r>
        <w:separator/>
      </w:r>
    </w:p>
    <w:p w:rsidR="00025B6B" w:rsidRDefault="00025B6B"/>
  </w:footnote>
  <w:footnote w:type="continuationSeparator" w:id="0">
    <w:p w:rsidR="00025B6B" w:rsidRDefault="00025B6B">
      <w:pPr>
        <w:spacing w:line="240" w:lineRule="auto"/>
      </w:pPr>
      <w:r>
        <w:continuationSeparator/>
      </w:r>
    </w:p>
    <w:p w:rsidR="00025B6B" w:rsidRDefault="00025B6B"/>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dTable2-Accent1"/>
      <w:tblW w:w="0" w:type="auto"/>
      <w:tblLook w:val="04A0" w:firstRow="1" w:lastRow="0" w:firstColumn="1" w:lastColumn="0" w:noHBand="0" w:noVBand="1"/>
      <w:tblDescription w:val="Header layout table"/>
    </w:tblPr>
    <w:tblGrid>
      <w:gridCol w:w="8280"/>
      <w:gridCol w:w="1080"/>
    </w:tblGrid>
    <w:tr w:rsidR="004D6B86" w:rsidTr="008A78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0" w:type="dxa"/>
        </w:tcPr>
        <w:p w:rsidR="004D6B86" w:rsidRPr="00170521" w:rsidRDefault="00665134" w:rsidP="00170521">
          <w:pPr>
            <w:pStyle w:val="Header"/>
          </w:pPr>
          <w:sdt>
            <w:sdtPr>
              <w:alias w:val="Enter shortened title:"/>
              <w:tag w:val="Enter shortened title:"/>
              <w:id w:val="-582528332"/>
              <w:placeholder/>
              <w15:dataBinding w:prefixMappings="xmlns:ns0='http://schemas.microsoft.com/temp/samples' " w:xpath="/ns0:employees[1]/ns0:employee[1]/ns0:CustomerName[1]" w:storeItemID="{B98E728A-96FF-4995-885C-5AF887AB0C35}"/>
              <w15:appearance w15:val="hidden"/>
            </w:sdtPr>
            <w:sdtContent>
              <w:r w:rsidR="00257BE6">
                <w:t>ODE MODELS OF EPIDEMICS</w:t>
              </w:r>
            </w:sdtContent>
          </w:sdt>
        </w:p>
      </w:tc>
      <w:tc>
        <w:tcPr>
          <w:tcW w:w="1080" w:type="dxa"/>
        </w:tcPr>
        <w:p w:rsidR="004D6B86" w:rsidRDefault="00345333">
          <w:pPr>
            <w:pStyle w:val="Header"/>
            <w:jc w:val="right"/>
            <w:cnfStyle w:val="100000000000" w:firstRow="1" w:lastRow="0" w:firstColumn="0" w:lastColumn="0" w:oddVBand="0" w:evenVBand="0" w:oddHBand="0" w:evenHBand="0" w:firstRowFirstColumn="0" w:firstRowLastColumn="0" w:lastRowFirstColumn="0" w:lastRowLastColumn="0"/>
          </w:pPr>
          <w:r>
            <w:fldChar w:fldCharType="begin"/>
          </w:r>
          <w:r>
            <w:instrText xml:space="preserve"> PAGE   \* MERGEFORMAT </w:instrText>
          </w:r>
          <w:r>
            <w:fldChar w:fldCharType="separate"/>
          </w:r>
          <w:r w:rsidR="00257BE6">
            <w:rPr>
              <w:noProof/>
            </w:rPr>
            <w:t>5</w:t>
          </w:r>
          <w:r>
            <w:rPr>
              <w:noProof/>
            </w:rPr>
            <w:fldChar w:fldCharType="end"/>
          </w:r>
        </w:p>
      </w:tc>
    </w:tr>
  </w:tbl>
  <w:p w:rsidR="004D6B86" w:rsidRDefault="004D6B8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dTable2-Accent1"/>
      <w:tblW w:w="0" w:type="auto"/>
      <w:tblLook w:val="04A0" w:firstRow="1" w:lastRow="0" w:firstColumn="1" w:lastColumn="0" w:noHBand="0" w:noVBand="1"/>
      <w:tblDescription w:val="Header layout table"/>
    </w:tblPr>
    <w:tblGrid>
      <w:gridCol w:w="8280"/>
      <w:gridCol w:w="1080"/>
    </w:tblGrid>
    <w:tr w:rsidR="004D6B86" w:rsidTr="008A78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0" w:type="dxa"/>
        </w:tcPr>
        <w:p w:rsidR="004D6B86" w:rsidRPr="009F0414" w:rsidRDefault="00961AE5" w:rsidP="005E5D13">
          <w:pPr>
            <w:pStyle w:val="Header"/>
          </w:pPr>
          <w:r>
            <w:t xml:space="preserve">Running head: </w:t>
          </w:r>
          <w:sdt>
            <w:sdtPr>
              <w:alias w:val="Enter shortened title:"/>
              <w:tag w:val="Enter shortened title:"/>
              <w:id w:val="-211583021"/>
              <w:placeholder>
                <w:docPart w:val="DefaultPlaceholder_1075249612"/>
              </w:placeholder>
              <w15:dataBinding w:prefixMappings="xmlns:ns0='http://schemas.microsoft.com/temp/samples' " w:xpath="/ns0:employees[1]/ns0:employee[1]/ns0:CustomerName[1]" w:storeItemID="{B98E728A-96FF-4995-885C-5AF887AB0C35}"/>
              <w15:appearance w15:val="hidden"/>
            </w:sdtPr>
            <w:sdtContent>
              <w:r w:rsidR="00257BE6">
                <w:t>ODE MODELS OF EPIDEMICS</w:t>
              </w:r>
            </w:sdtContent>
          </w:sdt>
        </w:p>
      </w:tc>
      <w:tc>
        <w:tcPr>
          <w:tcW w:w="1080" w:type="dxa"/>
        </w:tcPr>
        <w:p w:rsidR="004D6B86" w:rsidRDefault="00345333">
          <w:pPr>
            <w:pStyle w:val="Header"/>
            <w:jc w:val="right"/>
            <w:cnfStyle w:val="100000000000" w:firstRow="1" w:lastRow="0" w:firstColumn="0" w:lastColumn="0" w:oddVBand="0" w:evenVBand="0" w:oddHBand="0" w:evenHBand="0" w:firstRowFirstColumn="0" w:firstRowLastColumn="0" w:lastRowFirstColumn="0" w:lastRowLastColumn="0"/>
          </w:pPr>
          <w:r>
            <w:fldChar w:fldCharType="begin"/>
          </w:r>
          <w:r>
            <w:instrText xml:space="preserve"> PAGE   \* MERGEFORMAT </w:instrText>
          </w:r>
          <w:r>
            <w:fldChar w:fldCharType="separate"/>
          </w:r>
          <w:r w:rsidR="00257BE6">
            <w:rPr>
              <w:noProof/>
            </w:rPr>
            <w:t>1</w:t>
          </w:r>
          <w:r>
            <w:rPr>
              <w:noProof/>
            </w:rPr>
            <w:fldChar w:fldCharType="end"/>
          </w:r>
        </w:p>
      </w:tc>
    </w:tr>
  </w:tbl>
  <w:p w:rsidR="004D6B86" w:rsidRDefault="004D6B86" w:rsidP="002C627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5D13"/>
    <w:rsid w:val="00006BBA"/>
    <w:rsid w:val="0001010E"/>
    <w:rsid w:val="000217F5"/>
    <w:rsid w:val="00025B6B"/>
    <w:rsid w:val="0009485F"/>
    <w:rsid w:val="00097169"/>
    <w:rsid w:val="000C53D0"/>
    <w:rsid w:val="000D4D5B"/>
    <w:rsid w:val="00114BFA"/>
    <w:rsid w:val="0013546E"/>
    <w:rsid w:val="001602E3"/>
    <w:rsid w:val="00160C0C"/>
    <w:rsid w:val="001664A2"/>
    <w:rsid w:val="00170521"/>
    <w:rsid w:val="00184FF4"/>
    <w:rsid w:val="001B4848"/>
    <w:rsid w:val="001E2015"/>
    <w:rsid w:val="001F447A"/>
    <w:rsid w:val="001F7399"/>
    <w:rsid w:val="00212319"/>
    <w:rsid w:val="00225BE3"/>
    <w:rsid w:val="0025603B"/>
    <w:rsid w:val="00257BE6"/>
    <w:rsid w:val="00274E0A"/>
    <w:rsid w:val="002B6153"/>
    <w:rsid w:val="002C0D61"/>
    <w:rsid w:val="002C627C"/>
    <w:rsid w:val="00307586"/>
    <w:rsid w:val="00336906"/>
    <w:rsid w:val="00345333"/>
    <w:rsid w:val="003A06C6"/>
    <w:rsid w:val="003E36B1"/>
    <w:rsid w:val="003E4162"/>
    <w:rsid w:val="003F132E"/>
    <w:rsid w:val="003F7CBD"/>
    <w:rsid w:val="00435172"/>
    <w:rsid w:val="00481CF8"/>
    <w:rsid w:val="004847BB"/>
    <w:rsid w:val="00492C2D"/>
    <w:rsid w:val="004A3D87"/>
    <w:rsid w:val="004B18A9"/>
    <w:rsid w:val="004D4F8C"/>
    <w:rsid w:val="004D6B86"/>
    <w:rsid w:val="004F1F60"/>
    <w:rsid w:val="00504F88"/>
    <w:rsid w:val="00545010"/>
    <w:rsid w:val="0055242C"/>
    <w:rsid w:val="00595412"/>
    <w:rsid w:val="005E10DF"/>
    <w:rsid w:val="005E5D13"/>
    <w:rsid w:val="0061747E"/>
    <w:rsid w:val="00641876"/>
    <w:rsid w:val="00645290"/>
    <w:rsid w:val="00665134"/>
    <w:rsid w:val="00684C26"/>
    <w:rsid w:val="006B015B"/>
    <w:rsid w:val="006C162F"/>
    <w:rsid w:val="006D7EE9"/>
    <w:rsid w:val="007244DE"/>
    <w:rsid w:val="00790A06"/>
    <w:rsid w:val="0081390C"/>
    <w:rsid w:val="00816831"/>
    <w:rsid w:val="00837D67"/>
    <w:rsid w:val="008747E8"/>
    <w:rsid w:val="008A2A83"/>
    <w:rsid w:val="008A78F1"/>
    <w:rsid w:val="00910F0E"/>
    <w:rsid w:val="00961AE5"/>
    <w:rsid w:val="009A2C38"/>
    <w:rsid w:val="009F0414"/>
    <w:rsid w:val="00A4757D"/>
    <w:rsid w:val="00A77F6B"/>
    <w:rsid w:val="00A81BB2"/>
    <w:rsid w:val="00AA5C05"/>
    <w:rsid w:val="00AF6AAA"/>
    <w:rsid w:val="00B03BA4"/>
    <w:rsid w:val="00B41929"/>
    <w:rsid w:val="00B6519B"/>
    <w:rsid w:val="00C3438C"/>
    <w:rsid w:val="00C5686B"/>
    <w:rsid w:val="00C74024"/>
    <w:rsid w:val="00C83B15"/>
    <w:rsid w:val="00C925C8"/>
    <w:rsid w:val="00CB7F84"/>
    <w:rsid w:val="00CF1B55"/>
    <w:rsid w:val="00D128F4"/>
    <w:rsid w:val="00D42B1B"/>
    <w:rsid w:val="00DB2E59"/>
    <w:rsid w:val="00DB358F"/>
    <w:rsid w:val="00DB6264"/>
    <w:rsid w:val="00DC44F1"/>
    <w:rsid w:val="00DF6D26"/>
    <w:rsid w:val="00E211DD"/>
    <w:rsid w:val="00E50001"/>
    <w:rsid w:val="00E7305D"/>
    <w:rsid w:val="00EA780C"/>
    <w:rsid w:val="00EB69D3"/>
    <w:rsid w:val="00F31D66"/>
    <w:rsid w:val="00F363EC"/>
    <w:rsid w:val="00F413AC"/>
    <w:rsid w:val="00FE725C"/>
  </w:rsids>
  <m:mathPr>
    <m:mathFont m:val="Cambria Math"/>
    <m:brkBin m:val="before"/>
    <m:brkBinSub m:val="--"/>
    <m:smallFrac m:val="0"/>
    <m:dispDef/>
    <m:lMargin m:val="0"/>
    <m:rMargin m:val="0"/>
    <m:defJc m:val="centerGroup"/>
    <m:wrapIndent m:val="1440"/>
    <m:intLim m:val="subSup"/>
    <m:naryLim m:val="undOvr"/>
  </m:mathPr>
  <w:attachedSchema w:val="http://schemas.microsoft.com/temp/samples"/>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chartTrackingRefBased/>
  <w15:docId w15:val="{B7B79449-4708-40E4-9C4C-B7847C69F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color w:val="000000" w:themeColor="text1"/>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5" w:qFormat="1"/>
    <w:lsdException w:name="heading 8" w:semiHidden="1" w:uiPriority="5" w:qFormat="1"/>
    <w:lsdException w:name="heading 9" w:semiHidden="1" w:uiPriority="5"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25C8"/>
  </w:style>
  <w:style w:type="paragraph" w:styleId="Heading1">
    <w:name w:val="heading 1"/>
    <w:basedOn w:val="Normal"/>
    <w:next w:val="Normal"/>
    <w:link w:val="Heading1Char"/>
    <w:uiPriority w:val="5"/>
    <w:qFormat/>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5"/>
    <w:qFormat/>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5"/>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5"/>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5"/>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5"/>
    <w:semiHidden/>
    <w:qFormat/>
    <w:pPr>
      <w:keepNext/>
      <w:keepLines/>
      <w:spacing w:before="40"/>
      <w:ind w:firstLine="0"/>
      <w:outlineLvl w:val="5"/>
    </w:pPr>
    <w:rPr>
      <w:rFonts w:asciiTheme="majorHAnsi" w:eastAsiaTheme="majorEastAsia" w:hAnsiTheme="majorHAnsi" w:cstheme="majorBidi"/>
      <w:color w:val="6E6E6E"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qFormat/>
    <w:pPr>
      <w:spacing w:line="240" w:lineRule="auto"/>
      <w:ind w:firstLine="0"/>
    </w:pPr>
  </w:style>
  <w:style w:type="character" w:customStyle="1" w:styleId="HeaderChar">
    <w:name w:val="Header Char"/>
    <w:basedOn w:val="DefaultParagraphFont"/>
    <w:link w:val="Header"/>
    <w:uiPriority w:val="99"/>
    <w:rsid w:val="00DB2E59"/>
  </w:style>
  <w:style w:type="character" w:styleId="PlaceholderText">
    <w:name w:val="Placeholder Text"/>
    <w:basedOn w:val="DefaultParagraphFont"/>
    <w:uiPriority w:val="99"/>
    <w:semiHidden/>
    <w:rsid w:val="00EB69D3"/>
    <w:rPr>
      <w:color w:val="000000" w:themeColor="text1"/>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5"/>
    <w:rsid w:val="00DB2E59"/>
    <w:rPr>
      <w:rFonts w:asciiTheme="majorHAnsi" w:eastAsiaTheme="majorEastAsia" w:hAnsiTheme="majorHAnsi" w:cstheme="majorBidi"/>
      <w:b/>
      <w:bCs/>
    </w:rPr>
  </w:style>
  <w:style w:type="character" w:customStyle="1" w:styleId="Heading2Char">
    <w:name w:val="Heading 2 Char"/>
    <w:basedOn w:val="DefaultParagraphFont"/>
    <w:link w:val="Heading2"/>
    <w:uiPriority w:val="5"/>
    <w:rsid w:val="00DB2E59"/>
    <w:rPr>
      <w:rFonts w:asciiTheme="majorHAnsi" w:eastAsiaTheme="majorEastAsia" w:hAnsiTheme="majorHAnsi" w:cstheme="majorBidi"/>
      <w:b/>
      <w:bCs/>
    </w:rPr>
  </w:style>
  <w:style w:type="paragraph" w:styleId="Title">
    <w:name w:val="Title"/>
    <w:basedOn w:val="Normal"/>
    <w:next w:val="Normal"/>
    <w:link w:val="TitleChar"/>
    <w:uiPriority w:val="1"/>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Pr>
      <w:rFonts w:asciiTheme="majorHAnsi" w:eastAsiaTheme="majorEastAsia" w:hAnsiTheme="majorHAnsi" w:cstheme="majorBidi"/>
    </w:rPr>
  </w:style>
  <w:style w:type="character" w:styleId="Emphasis">
    <w:name w:val="Emphasis"/>
    <w:basedOn w:val="DefaultParagraphFont"/>
    <w:uiPriority w:val="4"/>
    <w:qFormat/>
    <w:rPr>
      <w:i/>
      <w:iCs/>
    </w:rPr>
  </w:style>
  <w:style w:type="character" w:customStyle="1" w:styleId="Heading3Char">
    <w:name w:val="Heading 3 Char"/>
    <w:basedOn w:val="DefaultParagraphFont"/>
    <w:link w:val="Heading3"/>
    <w:uiPriority w:val="5"/>
    <w:rsid w:val="00DB2E59"/>
    <w:rPr>
      <w:rFonts w:asciiTheme="majorHAnsi" w:eastAsiaTheme="majorEastAsia" w:hAnsiTheme="majorHAnsi" w:cstheme="majorBidi"/>
      <w:b/>
      <w:bCs/>
    </w:rPr>
  </w:style>
  <w:style w:type="character" w:customStyle="1" w:styleId="Heading4Char">
    <w:name w:val="Heading 4 Char"/>
    <w:basedOn w:val="DefaultParagraphFont"/>
    <w:link w:val="Heading4"/>
    <w:uiPriority w:val="5"/>
    <w:rsid w:val="00DB2E59"/>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5"/>
    <w:rsid w:val="00DB2E59"/>
    <w:rPr>
      <w:rFonts w:asciiTheme="majorHAnsi" w:eastAsiaTheme="majorEastAsia" w:hAnsiTheme="majorHAnsi" w:cstheme="majorBidi"/>
      <w:i/>
      <w:iCs/>
    </w:rPr>
  </w:style>
  <w:style w:type="paragraph" w:styleId="BalloonText">
    <w:name w:val="Balloon Text"/>
    <w:basedOn w:val="Normal"/>
    <w:link w:val="BalloonTextChar"/>
    <w:uiPriority w:val="99"/>
    <w:semiHidden/>
    <w:unhideWhenUsed/>
    <w:rsid w:val="00EB69D3"/>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B69D3"/>
    <w:rPr>
      <w:rFonts w:ascii="Segoe UI" w:hAnsi="Segoe UI" w:cs="Segoe UI"/>
      <w:sz w:val="22"/>
      <w:szCs w:val="18"/>
    </w:rPr>
  </w:style>
  <w:style w:type="paragraph" w:styleId="Bibliography">
    <w:name w:val="Bibliography"/>
    <w:basedOn w:val="Normal"/>
    <w:next w:val="Normal"/>
    <w:uiPriority w:val="6"/>
    <w:unhideWhenUsed/>
    <w:qFormat/>
    <w:pPr>
      <w:ind w:left="720" w:hanging="720"/>
    </w:pPr>
  </w:style>
  <w:style w:type="paragraph" w:styleId="BlockText">
    <w:name w:val="Block Text"/>
    <w:basedOn w:val="Normal"/>
    <w:uiPriority w:val="99"/>
    <w:semiHidden/>
    <w:unhideWhenUsed/>
    <w:rsid w:val="003F7CBD"/>
    <w:pPr>
      <w:pBdr>
        <w:top w:val="single" w:sz="2" w:space="10" w:color="000000" w:themeColor="text2" w:shadow="1"/>
        <w:left w:val="single" w:sz="2" w:space="10" w:color="000000" w:themeColor="text2" w:shadow="1"/>
        <w:bottom w:val="single" w:sz="2" w:space="10" w:color="000000" w:themeColor="text2" w:shadow="1"/>
        <w:right w:val="single" w:sz="2" w:space="10" w:color="000000" w:themeColor="text2" w:shadow="1"/>
      </w:pBdr>
      <w:ind w:left="1152" w:right="1152" w:firstLine="0"/>
    </w:pPr>
    <w:rPr>
      <w:i/>
      <w:iCs/>
      <w:color w:val="000000" w:themeColor="text2"/>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EB69D3"/>
    <w:pPr>
      <w:spacing w:after="120"/>
      <w:ind w:firstLine="0"/>
    </w:pPr>
    <w:rPr>
      <w:sz w:val="22"/>
      <w:szCs w:val="16"/>
    </w:rPr>
  </w:style>
  <w:style w:type="character" w:customStyle="1" w:styleId="BodyText3Char">
    <w:name w:val="Body Text 3 Char"/>
    <w:basedOn w:val="DefaultParagraphFont"/>
    <w:link w:val="BodyText3"/>
    <w:uiPriority w:val="99"/>
    <w:semiHidden/>
    <w:rsid w:val="00EB69D3"/>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EB69D3"/>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B69D3"/>
    <w:rPr>
      <w:sz w:val="22"/>
      <w:szCs w:val="16"/>
    </w:rPr>
  </w:style>
  <w:style w:type="paragraph" w:styleId="Caption">
    <w:name w:val="caption"/>
    <w:basedOn w:val="Normal"/>
    <w:next w:val="Normal"/>
    <w:uiPriority w:val="35"/>
    <w:semiHidden/>
    <w:unhideWhenUsed/>
    <w:qFormat/>
    <w:rsid w:val="00EB69D3"/>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EB69D3"/>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B69D3"/>
    <w:rPr>
      <w:sz w:val="22"/>
      <w:szCs w:val="20"/>
    </w:rPr>
  </w:style>
  <w:style w:type="paragraph" w:styleId="CommentSubject">
    <w:name w:val="annotation subject"/>
    <w:basedOn w:val="CommentText"/>
    <w:next w:val="CommentText"/>
    <w:link w:val="CommentSubjectChar"/>
    <w:uiPriority w:val="99"/>
    <w:semiHidden/>
    <w:unhideWhenUsed/>
    <w:rsid w:val="00EB69D3"/>
    <w:rPr>
      <w:b/>
      <w:bCs/>
    </w:rPr>
  </w:style>
  <w:style w:type="character" w:customStyle="1" w:styleId="CommentSubjectChar">
    <w:name w:val="Comment Subject Char"/>
    <w:basedOn w:val="CommentTextChar"/>
    <w:link w:val="CommentSubject"/>
    <w:uiPriority w:val="99"/>
    <w:semiHidden/>
    <w:rsid w:val="00EB69D3"/>
    <w:rPr>
      <w:b/>
      <w:bCs/>
      <w:sz w:val="22"/>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EB69D3"/>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B69D3"/>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EB69D3"/>
    <w:pPr>
      <w:spacing w:line="240" w:lineRule="auto"/>
    </w:pPr>
    <w:rPr>
      <w:sz w:val="22"/>
      <w:szCs w:val="20"/>
    </w:rPr>
  </w:style>
  <w:style w:type="character" w:customStyle="1" w:styleId="FootnoteTextChar">
    <w:name w:val="Footnote Text Char"/>
    <w:basedOn w:val="DefaultParagraphFont"/>
    <w:link w:val="FootnoteText"/>
    <w:uiPriority w:val="99"/>
    <w:semiHidden/>
    <w:rsid w:val="00EB69D3"/>
    <w:rPr>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B69D3"/>
    <w:pPr>
      <w:spacing w:line="240" w:lineRule="auto"/>
      <w:ind w:firstLine="0"/>
    </w:pPr>
    <w:rPr>
      <w:rFonts w:asciiTheme="majorHAnsi" w:eastAsiaTheme="majorEastAsia" w:hAnsiTheme="majorHAnsi" w:cstheme="majorBidi"/>
      <w:sz w:val="22"/>
      <w:szCs w:val="20"/>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Light">
    <w:name w:val="Grid Table Light"/>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5"/>
    <w:semiHidden/>
    <w:rsid w:val="00336906"/>
    <w:rPr>
      <w:rFonts w:asciiTheme="majorHAnsi" w:eastAsiaTheme="majorEastAsia" w:hAnsiTheme="majorHAnsi" w:cstheme="majorBidi"/>
      <w:color w:val="6E6E6E" w:themeColor="accent1" w:themeShade="7F"/>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EB69D3"/>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B69D3"/>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EB69D3"/>
    <w:pPr>
      <w:pBdr>
        <w:top w:val="single" w:sz="4" w:space="10" w:color="6E6E6E" w:themeColor="accent1" w:themeShade="80"/>
        <w:bottom w:val="single" w:sz="4" w:space="10" w:color="6E6E6E" w:themeColor="accent1" w:themeShade="80"/>
      </w:pBdr>
      <w:spacing w:before="360" w:after="360"/>
      <w:ind w:left="864" w:right="864" w:firstLine="0"/>
      <w:jc w:val="center"/>
    </w:pPr>
    <w:rPr>
      <w:i/>
      <w:iCs/>
      <w:color w:val="6E6E6E" w:themeColor="accent1" w:themeShade="80"/>
    </w:rPr>
  </w:style>
  <w:style w:type="character" w:customStyle="1" w:styleId="IntenseQuoteChar">
    <w:name w:val="Intense Quote Char"/>
    <w:basedOn w:val="DefaultParagraphFont"/>
    <w:link w:val="IntenseQuote"/>
    <w:uiPriority w:val="30"/>
    <w:semiHidden/>
    <w:rsid w:val="00EB69D3"/>
    <w:rPr>
      <w:i/>
      <w:iCs/>
      <w:color w:val="6E6E6E" w:themeColor="accent1" w:themeShade="80"/>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8"/>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8"/>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EB69D3"/>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EB69D3"/>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EB69D3"/>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B69D3"/>
    <w:rPr>
      <w:rFonts w:ascii="Consolas" w:hAnsi="Consolas" w:cs="Consolas"/>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qFormat/>
    <w:rPr>
      <w:vertAlign w:val="superscript"/>
    </w:rPr>
  </w:style>
  <w:style w:type="table" w:customStyle="1" w:styleId="APAReport">
    <w:name w:val="APA Report"/>
    <w:basedOn w:val="TableNormal"/>
    <w:uiPriority w:val="99"/>
    <w:rsid w:val="003F7CBD"/>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7"/>
    <w:qFormat/>
    <w:pPr>
      <w:spacing w:before="240"/>
      <w:ind w:firstLine="0"/>
      <w:contextualSpacing/>
    </w:pPr>
  </w:style>
  <w:style w:type="paragraph" w:styleId="Footer">
    <w:name w:val="footer"/>
    <w:basedOn w:val="Normal"/>
    <w:link w:val="FooterChar"/>
    <w:uiPriority w:val="99"/>
    <w:qFormat/>
    <w:pPr>
      <w:tabs>
        <w:tab w:val="center" w:pos="4680"/>
        <w:tab w:val="right" w:pos="9360"/>
      </w:tabs>
      <w:spacing w:line="240" w:lineRule="auto"/>
    </w:pPr>
  </w:style>
  <w:style w:type="character" w:customStyle="1" w:styleId="FooterChar">
    <w:name w:val="Footer Char"/>
    <w:basedOn w:val="DefaultParagraphFont"/>
    <w:link w:val="Footer"/>
    <w:uiPriority w:val="99"/>
    <w:rsid w:val="00DB2E59"/>
  </w:style>
  <w:style w:type="character" w:styleId="CommentReference">
    <w:name w:val="annotation reference"/>
    <w:basedOn w:val="DefaultParagraphFont"/>
    <w:uiPriority w:val="99"/>
    <w:semiHidden/>
    <w:unhideWhenUsed/>
    <w:rsid w:val="00EB69D3"/>
    <w:rPr>
      <w:sz w:val="22"/>
      <w:szCs w:val="16"/>
    </w:rPr>
  </w:style>
  <w:style w:type="paragraph" w:styleId="EndnoteText">
    <w:name w:val="endnote text"/>
    <w:basedOn w:val="Normal"/>
    <w:link w:val="EndnoteTextChar"/>
    <w:uiPriority w:val="99"/>
    <w:semiHidden/>
    <w:unhideWhenUsed/>
    <w:qFormat/>
    <w:rsid w:val="00EB69D3"/>
    <w:pPr>
      <w:spacing w:line="240" w:lineRule="auto"/>
    </w:pPr>
    <w:rPr>
      <w:sz w:val="22"/>
      <w:szCs w:val="20"/>
    </w:rPr>
  </w:style>
  <w:style w:type="character" w:customStyle="1" w:styleId="EndnoteTextChar">
    <w:name w:val="Endnote Text Char"/>
    <w:basedOn w:val="DefaultParagraphFont"/>
    <w:link w:val="EndnoteText"/>
    <w:uiPriority w:val="99"/>
    <w:semiHidden/>
    <w:rsid w:val="00EB69D3"/>
    <w:rPr>
      <w:sz w:val="22"/>
      <w:szCs w:val="20"/>
    </w:rPr>
  </w:style>
  <w:style w:type="character" w:styleId="HTMLCode">
    <w:name w:val="HTML Code"/>
    <w:basedOn w:val="DefaultParagraphFont"/>
    <w:uiPriority w:val="99"/>
    <w:semiHidden/>
    <w:unhideWhenUsed/>
    <w:rsid w:val="00EB69D3"/>
    <w:rPr>
      <w:rFonts w:ascii="Consolas" w:hAnsi="Consolas"/>
      <w:sz w:val="22"/>
      <w:szCs w:val="20"/>
    </w:rPr>
  </w:style>
  <w:style w:type="character" w:styleId="HTMLKeyboard">
    <w:name w:val="HTML Keyboard"/>
    <w:basedOn w:val="DefaultParagraphFont"/>
    <w:uiPriority w:val="99"/>
    <w:semiHidden/>
    <w:unhideWhenUsed/>
    <w:rsid w:val="00EB69D3"/>
    <w:rPr>
      <w:rFonts w:ascii="Consolas" w:hAnsi="Consolas"/>
      <w:sz w:val="22"/>
      <w:szCs w:val="20"/>
    </w:rPr>
  </w:style>
  <w:style w:type="character" w:styleId="HTMLTypewriter">
    <w:name w:val="HTML Typewriter"/>
    <w:basedOn w:val="DefaultParagraphFont"/>
    <w:uiPriority w:val="99"/>
    <w:semiHidden/>
    <w:unhideWhenUsed/>
    <w:rsid w:val="00EB69D3"/>
    <w:rPr>
      <w:rFonts w:ascii="Consolas" w:hAnsi="Consolas"/>
      <w:sz w:val="22"/>
      <w:szCs w:val="20"/>
    </w:rPr>
  </w:style>
  <w:style w:type="paragraph" w:styleId="TOCHeading">
    <w:name w:val="TOC Heading"/>
    <w:basedOn w:val="Heading1"/>
    <w:next w:val="Normal"/>
    <w:uiPriority w:val="39"/>
    <w:semiHidden/>
    <w:unhideWhenUsed/>
    <w:qFormat/>
    <w:rsid w:val="00EB69D3"/>
    <w:pPr>
      <w:spacing w:before="240"/>
      <w:ind w:firstLine="720"/>
      <w:jc w:val="left"/>
      <w:outlineLvl w:val="9"/>
    </w:pPr>
    <w:rPr>
      <w:b w:val="0"/>
      <w:bCs w:val="0"/>
      <w:color w:val="6E6E6E" w:themeColor="accent1" w:themeShade="80"/>
      <w:sz w:val="32"/>
      <w:szCs w:val="32"/>
    </w:rPr>
  </w:style>
  <w:style w:type="character" w:styleId="IntenseReference">
    <w:name w:val="Intense Reference"/>
    <w:basedOn w:val="DefaultParagraphFont"/>
    <w:uiPriority w:val="32"/>
    <w:semiHidden/>
    <w:unhideWhenUsed/>
    <w:qFormat/>
    <w:rsid w:val="00EB69D3"/>
    <w:rPr>
      <w:b/>
      <w:bCs/>
      <w:caps w:val="0"/>
      <w:smallCaps/>
      <w:color w:val="6E6E6E" w:themeColor="accent1" w:themeShade="80"/>
      <w:spacing w:val="5"/>
    </w:rPr>
  </w:style>
  <w:style w:type="character" w:styleId="IntenseEmphasis">
    <w:name w:val="Intense Emphasis"/>
    <w:basedOn w:val="DefaultParagraphFont"/>
    <w:uiPriority w:val="21"/>
    <w:semiHidden/>
    <w:unhideWhenUsed/>
    <w:qFormat/>
    <w:rsid w:val="00EB69D3"/>
    <w:rPr>
      <w:i/>
      <w:iCs/>
      <w:color w:val="6E6E6E" w:themeColor="accent1" w:themeShade="80"/>
    </w:rPr>
  </w:style>
  <w:style w:type="table" w:styleId="GridTable4-Accent4">
    <w:name w:val="Grid Table 4 Accent 4"/>
    <w:basedOn w:val="TableNormal"/>
    <w:uiPriority w:val="49"/>
    <w:rsid w:val="003F7CBD"/>
    <w:pPr>
      <w:spacing w:line="240" w:lineRule="auto"/>
    </w:pPr>
    <w:tblPr>
      <w:tblStyleRowBandSize w:val="1"/>
      <w:tblStyleColBandSize w:val="1"/>
      <w:tblInd w:w="0" w:type="dxa"/>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2-Accent1">
    <w:name w:val="Grid Table 2 Accent 1"/>
    <w:basedOn w:val="TableNormal"/>
    <w:uiPriority w:val="47"/>
    <w:rsid w:val="008A78F1"/>
    <w:pPr>
      <w:spacing w:line="240" w:lineRule="auto"/>
    </w:pPr>
    <w:tblPr>
      <w:tblStyleRowBandSize w:val="1"/>
      <w:tblStyleColBandSize w:val="1"/>
      <w:tblInd w:w="0" w:type="dxa"/>
      <w:tblBorders>
        <w:top w:val="single" w:sz="2" w:space="0" w:color="EAEAEA" w:themeColor="accent1" w:themeTint="99"/>
        <w:bottom w:val="single" w:sz="2" w:space="0" w:color="EAEAEA" w:themeColor="accent1" w:themeTint="99"/>
        <w:insideH w:val="single" w:sz="2" w:space="0" w:color="EAEAEA" w:themeColor="accent1" w:themeTint="99"/>
        <w:insideV w:val="single" w:sz="2" w:space="0" w:color="EAEAEA" w:themeColor="accent1" w:themeTint="99"/>
      </w:tblBorders>
      <w:tblCellMar>
        <w:top w:w="0" w:type="dxa"/>
        <w:left w:w="0" w:type="dxa"/>
        <w:bottom w:w="0" w:type="dxa"/>
        <w:right w:w="0" w:type="dxa"/>
      </w:tblCellMar>
    </w:tblPr>
    <w:tblStylePr w:type="firstRow">
      <w:rPr>
        <w:b w:val="0"/>
        <w:bCs/>
        <w:i w:val="0"/>
      </w:rPr>
      <w:tblPr/>
      <w:tcPr>
        <w:tcBorders>
          <w:top w:val="nil"/>
          <w:left w:val="nil"/>
          <w:bottom w:val="nil"/>
          <w:right w:val="nil"/>
          <w:insideH w:val="nil"/>
          <w:insideV w:val="nil"/>
          <w:tl2br w:val="nil"/>
          <w:tr2bl w:val="nil"/>
        </w:tcBorders>
        <w:shd w:val="clear" w:color="auto" w:fill="FFFFFF" w:themeFill="background1"/>
      </w:tcPr>
    </w:tblStylePr>
    <w:tblStylePr w:type="lastRow">
      <w:rPr>
        <w:b/>
        <w:bCs/>
      </w:rPr>
      <w:tblPr/>
      <w:tcPr>
        <w:tcBorders>
          <w:top w:val="double" w:sz="2" w:space="0" w:color="EAEAEA"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811267">
      <w:bodyDiv w:val="1"/>
      <w:marLeft w:val="0"/>
      <w:marRight w:val="0"/>
      <w:marTop w:val="0"/>
      <w:marBottom w:val="0"/>
      <w:divBdr>
        <w:top w:val="none" w:sz="0" w:space="0" w:color="auto"/>
        <w:left w:val="none" w:sz="0" w:space="0" w:color="auto"/>
        <w:bottom w:val="none" w:sz="0" w:space="0" w:color="auto"/>
        <w:right w:val="none" w:sz="0" w:space="0" w:color="auto"/>
      </w:divBdr>
      <w:divsChild>
        <w:div w:id="1853453173">
          <w:marLeft w:val="0"/>
          <w:marRight w:val="0"/>
          <w:marTop w:val="0"/>
          <w:marBottom w:val="0"/>
          <w:divBdr>
            <w:top w:val="none" w:sz="0" w:space="0" w:color="auto"/>
            <w:left w:val="none" w:sz="0" w:space="0" w:color="auto"/>
            <w:bottom w:val="none" w:sz="0" w:space="0" w:color="auto"/>
            <w:right w:val="none" w:sz="0" w:space="0" w:color="auto"/>
          </w:divBdr>
        </w:div>
      </w:divsChild>
    </w:div>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290288648">
      <w:bodyDiv w:val="1"/>
      <w:marLeft w:val="0"/>
      <w:marRight w:val="0"/>
      <w:marTop w:val="0"/>
      <w:marBottom w:val="0"/>
      <w:divBdr>
        <w:top w:val="none" w:sz="0" w:space="0" w:color="auto"/>
        <w:left w:val="none" w:sz="0" w:space="0" w:color="auto"/>
        <w:bottom w:val="none" w:sz="0" w:space="0" w:color="auto"/>
        <w:right w:val="none" w:sz="0" w:space="0" w:color="auto"/>
      </w:divBdr>
      <w:divsChild>
        <w:div w:id="1161310102">
          <w:marLeft w:val="0"/>
          <w:marRight w:val="0"/>
          <w:marTop w:val="0"/>
          <w:marBottom w:val="0"/>
          <w:divBdr>
            <w:top w:val="none" w:sz="0" w:space="0" w:color="auto"/>
            <w:left w:val="none" w:sz="0" w:space="0" w:color="auto"/>
            <w:bottom w:val="none" w:sz="0" w:space="0" w:color="auto"/>
            <w:right w:val="none" w:sz="0" w:space="0" w:color="auto"/>
          </w:divBdr>
        </w:div>
        <w:div w:id="472018118">
          <w:marLeft w:val="0"/>
          <w:marRight w:val="0"/>
          <w:marTop w:val="0"/>
          <w:marBottom w:val="0"/>
          <w:divBdr>
            <w:top w:val="none" w:sz="0" w:space="0" w:color="auto"/>
            <w:left w:val="none" w:sz="0" w:space="0" w:color="auto"/>
            <w:bottom w:val="none" w:sz="0" w:space="0" w:color="auto"/>
            <w:right w:val="none" w:sz="0" w:space="0" w:color="auto"/>
          </w:divBdr>
        </w:div>
      </w:divsChild>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392512728">
      <w:bodyDiv w:val="1"/>
      <w:marLeft w:val="0"/>
      <w:marRight w:val="0"/>
      <w:marTop w:val="0"/>
      <w:marBottom w:val="0"/>
      <w:divBdr>
        <w:top w:val="none" w:sz="0" w:space="0" w:color="auto"/>
        <w:left w:val="none" w:sz="0" w:space="0" w:color="auto"/>
        <w:bottom w:val="none" w:sz="0" w:space="0" w:color="auto"/>
        <w:right w:val="none" w:sz="0" w:space="0" w:color="auto"/>
      </w:divBdr>
      <w:divsChild>
        <w:div w:id="81529838">
          <w:marLeft w:val="0"/>
          <w:marRight w:val="0"/>
          <w:marTop w:val="0"/>
          <w:marBottom w:val="0"/>
          <w:divBdr>
            <w:top w:val="none" w:sz="0" w:space="0" w:color="auto"/>
            <w:left w:val="none" w:sz="0" w:space="0" w:color="auto"/>
            <w:bottom w:val="none" w:sz="0" w:space="0" w:color="auto"/>
            <w:right w:val="none" w:sz="0" w:space="0" w:color="auto"/>
          </w:divBdr>
        </w:div>
        <w:div w:id="839083142">
          <w:marLeft w:val="0"/>
          <w:marRight w:val="0"/>
          <w:marTop w:val="0"/>
          <w:marBottom w:val="0"/>
          <w:divBdr>
            <w:top w:val="none" w:sz="0" w:space="0" w:color="auto"/>
            <w:left w:val="none" w:sz="0" w:space="0" w:color="auto"/>
            <w:bottom w:val="none" w:sz="0" w:space="0" w:color="auto"/>
            <w:right w:val="none" w:sz="0" w:space="0" w:color="auto"/>
          </w:divBdr>
        </w:div>
        <w:div w:id="419642354">
          <w:marLeft w:val="0"/>
          <w:marRight w:val="0"/>
          <w:marTop w:val="0"/>
          <w:marBottom w:val="0"/>
          <w:divBdr>
            <w:top w:val="none" w:sz="0" w:space="0" w:color="auto"/>
            <w:left w:val="none" w:sz="0" w:space="0" w:color="auto"/>
            <w:bottom w:val="none" w:sz="0" w:space="0" w:color="auto"/>
            <w:right w:val="none" w:sz="0" w:space="0" w:color="auto"/>
          </w:divBdr>
        </w:div>
        <w:div w:id="1082407897">
          <w:marLeft w:val="0"/>
          <w:marRight w:val="0"/>
          <w:marTop w:val="0"/>
          <w:marBottom w:val="0"/>
          <w:divBdr>
            <w:top w:val="none" w:sz="0" w:space="0" w:color="auto"/>
            <w:left w:val="none" w:sz="0" w:space="0" w:color="auto"/>
            <w:bottom w:val="none" w:sz="0" w:space="0" w:color="auto"/>
            <w:right w:val="none" w:sz="0" w:space="0" w:color="auto"/>
          </w:divBdr>
        </w:div>
      </w:divsChild>
    </w:div>
    <w:div w:id="433092383">
      <w:bodyDiv w:val="1"/>
      <w:marLeft w:val="0"/>
      <w:marRight w:val="0"/>
      <w:marTop w:val="0"/>
      <w:marBottom w:val="0"/>
      <w:divBdr>
        <w:top w:val="none" w:sz="0" w:space="0" w:color="auto"/>
        <w:left w:val="none" w:sz="0" w:space="0" w:color="auto"/>
        <w:bottom w:val="none" w:sz="0" w:space="0" w:color="auto"/>
        <w:right w:val="none" w:sz="0" w:space="0" w:color="auto"/>
      </w:divBdr>
      <w:divsChild>
        <w:div w:id="1823960661">
          <w:marLeft w:val="0"/>
          <w:marRight w:val="0"/>
          <w:marTop w:val="0"/>
          <w:marBottom w:val="0"/>
          <w:divBdr>
            <w:top w:val="none" w:sz="0" w:space="0" w:color="auto"/>
            <w:left w:val="none" w:sz="0" w:space="0" w:color="auto"/>
            <w:bottom w:val="none" w:sz="0" w:space="0" w:color="auto"/>
            <w:right w:val="none" w:sz="0" w:space="0" w:color="auto"/>
          </w:divBdr>
        </w:div>
        <w:div w:id="1793868008">
          <w:marLeft w:val="0"/>
          <w:marRight w:val="0"/>
          <w:marTop w:val="0"/>
          <w:marBottom w:val="0"/>
          <w:divBdr>
            <w:top w:val="none" w:sz="0" w:space="0" w:color="auto"/>
            <w:left w:val="none" w:sz="0" w:space="0" w:color="auto"/>
            <w:bottom w:val="none" w:sz="0" w:space="0" w:color="auto"/>
            <w:right w:val="none" w:sz="0" w:space="0" w:color="auto"/>
          </w:divBdr>
        </w:div>
        <w:div w:id="442728331">
          <w:marLeft w:val="0"/>
          <w:marRight w:val="0"/>
          <w:marTop w:val="0"/>
          <w:marBottom w:val="0"/>
          <w:divBdr>
            <w:top w:val="none" w:sz="0" w:space="0" w:color="auto"/>
            <w:left w:val="none" w:sz="0" w:space="0" w:color="auto"/>
            <w:bottom w:val="none" w:sz="0" w:space="0" w:color="auto"/>
            <w:right w:val="none" w:sz="0" w:space="0" w:color="auto"/>
          </w:divBdr>
        </w:div>
      </w:divsChild>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499084518">
      <w:bodyDiv w:val="1"/>
      <w:marLeft w:val="0"/>
      <w:marRight w:val="0"/>
      <w:marTop w:val="0"/>
      <w:marBottom w:val="0"/>
      <w:divBdr>
        <w:top w:val="none" w:sz="0" w:space="0" w:color="auto"/>
        <w:left w:val="none" w:sz="0" w:space="0" w:color="auto"/>
        <w:bottom w:val="none" w:sz="0" w:space="0" w:color="auto"/>
        <w:right w:val="none" w:sz="0" w:space="0" w:color="auto"/>
      </w:divBdr>
      <w:divsChild>
        <w:div w:id="265500551">
          <w:marLeft w:val="0"/>
          <w:marRight w:val="0"/>
          <w:marTop w:val="0"/>
          <w:marBottom w:val="0"/>
          <w:divBdr>
            <w:top w:val="none" w:sz="0" w:space="0" w:color="auto"/>
            <w:left w:val="none" w:sz="0" w:space="0" w:color="auto"/>
            <w:bottom w:val="none" w:sz="0" w:space="0" w:color="auto"/>
            <w:right w:val="none" w:sz="0" w:space="0" w:color="auto"/>
          </w:divBdr>
        </w:div>
        <w:div w:id="452603260">
          <w:marLeft w:val="0"/>
          <w:marRight w:val="0"/>
          <w:marTop w:val="0"/>
          <w:marBottom w:val="0"/>
          <w:divBdr>
            <w:top w:val="none" w:sz="0" w:space="0" w:color="auto"/>
            <w:left w:val="none" w:sz="0" w:space="0" w:color="auto"/>
            <w:bottom w:val="none" w:sz="0" w:space="0" w:color="auto"/>
            <w:right w:val="none" w:sz="0" w:space="0" w:color="auto"/>
          </w:divBdr>
        </w:div>
        <w:div w:id="1094671474">
          <w:marLeft w:val="0"/>
          <w:marRight w:val="0"/>
          <w:marTop w:val="0"/>
          <w:marBottom w:val="0"/>
          <w:divBdr>
            <w:top w:val="none" w:sz="0" w:space="0" w:color="auto"/>
            <w:left w:val="none" w:sz="0" w:space="0" w:color="auto"/>
            <w:bottom w:val="none" w:sz="0" w:space="0" w:color="auto"/>
            <w:right w:val="none" w:sz="0" w:space="0" w:color="auto"/>
          </w:divBdr>
        </w:div>
        <w:div w:id="1619947171">
          <w:marLeft w:val="0"/>
          <w:marRight w:val="0"/>
          <w:marTop w:val="0"/>
          <w:marBottom w:val="0"/>
          <w:divBdr>
            <w:top w:val="none" w:sz="0" w:space="0" w:color="auto"/>
            <w:left w:val="none" w:sz="0" w:space="0" w:color="auto"/>
            <w:bottom w:val="none" w:sz="0" w:space="0" w:color="auto"/>
            <w:right w:val="none" w:sz="0" w:space="0" w:color="auto"/>
          </w:divBdr>
        </w:div>
      </w:divsChild>
    </w:div>
    <w:div w:id="505634108">
      <w:bodyDiv w:val="1"/>
      <w:marLeft w:val="0"/>
      <w:marRight w:val="0"/>
      <w:marTop w:val="0"/>
      <w:marBottom w:val="0"/>
      <w:divBdr>
        <w:top w:val="none" w:sz="0" w:space="0" w:color="auto"/>
        <w:left w:val="none" w:sz="0" w:space="0" w:color="auto"/>
        <w:bottom w:val="none" w:sz="0" w:space="0" w:color="auto"/>
        <w:right w:val="none" w:sz="0" w:space="0" w:color="auto"/>
      </w:divBdr>
      <w:divsChild>
        <w:div w:id="1930575791">
          <w:marLeft w:val="0"/>
          <w:marRight w:val="0"/>
          <w:marTop w:val="0"/>
          <w:marBottom w:val="0"/>
          <w:divBdr>
            <w:top w:val="none" w:sz="0" w:space="0" w:color="auto"/>
            <w:left w:val="none" w:sz="0" w:space="0" w:color="auto"/>
            <w:bottom w:val="none" w:sz="0" w:space="0" w:color="auto"/>
            <w:right w:val="none" w:sz="0" w:space="0" w:color="auto"/>
          </w:divBdr>
        </w:div>
        <w:div w:id="689532316">
          <w:marLeft w:val="0"/>
          <w:marRight w:val="0"/>
          <w:marTop w:val="0"/>
          <w:marBottom w:val="0"/>
          <w:divBdr>
            <w:top w:val="none" w:sz="0" w:space="0" w:color="auto"/>
            <w:left w:val="none" w:sz="0" w:space="0" w:color="auto"/>
            <w:bottom w:val="none" w:sz="0" w:space="0" w:color="auto"/>
            <w:right w:val="none" w:sz="0" w:space="0" w:color="auto"/>
          </w:divBdr>
        </w:div>
        <w:div w:id="668405960">
          <w:marLeft w:val="0"/>
          <w:marRight w:val="0"/>
          <w:marTop w:val="0"/>
          <w:marBottom w:val="0"/>
          <w:divBdr>
            <w:top w:val="none" w:sz="0" w:space="0" w:color="auto"/>
            <w:left w:val="none" w:sz="0" w:space="0" w:color="auto"/>
            <w:bottom w:val="none" w:sz="0" w:space="0" w:color="auto"/>
            <w:right w:val="none" w:sz="0" w:space="0" w:color="auto"/>
          </w:divBdr>
        </w:div>
        <w:div w:id="1353650591">
          <w:marLeft w:val="0"/>
          <w:marRight w:val="0"/>
          <w:marTop w:val="0"/>
          <w:marBottom w:val="0"/>
          <w:divBdr>
            <w:top w:val="none" w:sz="0" w:space="0" w:color="auto"/>
            <w:left w:val="none" w:sz="0" w:space="0" w:color="auto"/>
            <w:bottom w:val="none" w:sz="0" w:space="0" w:color="auto"/>
            <w:right w:val="none" w:sz="0" w:space="0" w:color="auto"/>
          </w:divBdr>
        </w:div>
      </w:divsChild>
    </w:div>
    <w:div w:id="567493785">
      <w:bodyDiv w:val="1"/>
      <w:marLeft w:val="0"/>
      <w:marRight w:val="0"/>
      <w:marTop w:val="0"/>
      <w:marBottom w:val="0"/>
      <w:divBdr>
        <w:top w:val="none" w:sz="0" w:space="0" w:color="auto"/>
        <w:left w:val="none" w:sz="0" w:space="0" w:color="auto"/>
        <w:bottom w:val="none" w:sz="0" w:space="0" w:color="auto"/>
        <w:right w:val="none" w:sz="0" w:space="0" w:color="auto"/>
      </w:divBdr>
      <w:divsChild>
        <w:div w:id="1871186378">
          <w:marLeft w:val="0"/>
          <w:marRight w:val="0"/>
          <w:marTop w:val="0"/>
          <w:marBottom w:val="0"/>
          <w:divBdr>
            <w:top w:val="none" w:sz="0" w:space="0" w:color="auto"/>
            <w:left w:val="none" w:sz="0" w:space="0" w:color="auto"/>
            <w:bottom w:val="none" w:sz="0" w:space="0" w:color="auto"/>
            <w:right w:val="none" w:sz="0" w:space="0" w:color="auto"/>
          </w:divBdr>
        </w:div>
      </w:divsChild>
    </w:div>
    <w:div w:id="578445464">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757990442">
      <w:bodyDiv w:val="1"/>
      <w:marLeft w:val="0"/>
      <w:marRight w:val="0"/>
      <w:marTop w:val="0"/>
      <w:marBottom w:val="0"/>
      <w:divBdr>
        <w:top w:val="none" w:sz="0" w:space="0" w:color="auto"/>
        <w:left w:val="none" w:sz="0" w:space="0" w:color="auto"/>
        <w:bottom w:val="none" w:sz="0" w:space="0" w:color="auto"/>
        <w:right w:val="none" w:sz="0" w:space="0" w:color="auto"/>
      </w:divBdr>
      <w:divsChild>
        <w:div w:id="480580087">
          <w:marLeft w:val="0"/>
          <w:marRight w:val="0"/>
          <w:marTop w:val="0"/>
          <w:marBottom w:val="0"/>
          <w:divBdr>
            <w:top w:val="none" w:sz="0" w:space="0" w:color="auto"/>
            <w:left w:val="none" w:sz="0" w:space="0" w:color="auto"/>
            <w:bottom w:val="none" w:sz="0" w:space="0" w:color="auto"/>
            <w:right w:val="none" w:sz="0" w:space="0" w:color="auto"/>
          </w:divBdr>
        </w:div>
        <w:div w:id="1338265140">
          <w:marLeft w:val="0"/>
          <w:marRight w:val="0"/>
          <w:marTop w:val="0"/>
          <w:marBottom w:val="0"/>
          <w:divBdr>
            <w:top w:val="none" w:sz="0" w:space="0" w:color="auto"/>
            <w:left w:val="none" w:sz="0" w:space="0" w:color="auto"/>
            <w:bottom w:val="none" w:sz="0" w:space="0" w:color="auto"/>
            <w:right w:val="none" w:sz="0" w:space="0" w:color="auto"/>
          </w:divBdr>
        </w:div>
      </w:divsChild>
    </w:div>
    <w:div w:id="763107699">
      <w:bodyDiv w:val="1"/>
      <w:marLeft w:val="0"/>
      <w:marRight w:val="0"/>
      <w:marTop w:val="0"/>
      <w:marBottom w:val="0"/>
      <w:divBdr>
        <w:top w:val="none" w:sz="0" w:space="0" w:color="auto"/>
        <w:left w:val="none" w:sz="0" w:space="0" w:color="auto"/>
        <w:bottom w:val="none" w:sz="0" w:space="0" w:color="auto"/>
        <w:right w:val="none" w:sz="0" w:space="0" w:color="auto"/>
      </w:divBdr>
      <w:divsChild>
        <w:div w:id="540476407">
          <w:marLeft w:val="0"/>
          <w:marRight w:val="0"/>
          <w:marTop w:val="0"/>
          <w:marBottom w:val="0"/>
          <w:divBdr>
            <w:top w:val="none" w:sz="0" w:space="0" w:color="auto"/>
            <w:left w:val="none" w:sz="0" w:space="0" w:color="auto"/>
            <w:bottom w:val="none" w:sz="0" w:space="0" w:color="auto"/>
            <w:right w:val="none" w:sz="0" w:space="0" w:color="auto"/>
          </w:divBdr>
        </w:div>
        <w:div w:id="906648523">
          <w:marLeft w:val="0"/>
          <w:marRight w:val="0"/>
          <w:marTop w:val="0"/>
          <w:marBottom w:val="0"/>
          <w:divBdr>
            <w:top w:val="none" w:sz="0" w:space="0" w:color="auto"/>
            <w:left w:val="none" w:sz="0" w:space="0" w:color="auto"/>
            <w:bottom w:val="none" w:sz="0" w:space="0" w:color="auto"/>
            <w:right w:val="none" w:sz="0" w:space="0" w:color="auto"/>
          </w:divBdr>
        </w:div>
        <w:div w:id="1025405171">
          <w:marLeft w:val="0"/>
          <w:marRight w:val="0"/>
          <w:marTop w:val="0"/>
          <w:marBottom w:val="0"/>
          <w:divBdr>
            <w:top w:val="none" w:sz="0" w:space="0" w:color="auto"/>
            <w:left w:val="none" w:sz="0" w:space="0" w:color="auto"/>
            <w:bottom w:val="none" w:sz="0" w:space="0" w:color="auto"/>
            <w:right w:val="none" w:sz="0" w:space="0" w:color="auto"/>
          </w:divBdr>
        </w:div>
        <w:div w:id="1271011569">
          <w:marLeft w:val="0"/>
          <w:marRight w:val="0"/>
          <w:marTop w:val="0"/>
          <w:marBottom w:val="0"/>
          <w:divBdr>
            <w:top w:val="none" w:sz="0" w:space="0" w:color="auto"/>
            <w:left w:val="none" w:sz="0" w:space="0" w:color="auto"/>
            <w:bottom w:val="none" w:sz="0" w:space="0" w:color="auto"/>
            <w:right w:val="none" w:sz="0" w:space="0" w:color="auto"/>
          </w:divBdr>
        </w:div>
        <w:div w:id="1856771628">
          <w:marLeft w:val="0"/>
          <w:marRight w:val="0"/>
          <w:marTop w:val="0"/>
          <w:marBottom w:val="0"/>
          <w:divBdr>
            <w:top w:val="none" w:sz="0" w:space="0" w:color="auto"/>
            <w:left w:val="none" w:sz="0" w:space="0" w:color="auto"/>
            <w:bottom w:val="none" w:sz="0" w:space="0" w:color="auto"/>
            <w:right w:val="none" w:sz="0" w:space="0" w:color="auto"/>
          </w:divBdr>
        </w:div>
      </w:divsChild>
    </w:div>
    <w:div w:id="836262409">
      <w:bodyDiv w:val="1"/>
      <w:marLeft w:val="0"/>
      <w:marRight w:val="0"/>
      <w:marTop w:val="0"/>
      <w:marBottom w:val="0"/>
      <w:divBdr>
        <w:top w:val="none" w:sz="0" w:space="0" w:color="auto"/>
        <w:left w:val="none" w:sz="0" w:space="0" w:color="auto"/>
        <w:bottom w:val="none" w:sz="0" w:space="0" w:color="auto"/>
        <w:right w:val="none" w:sz="0" w:space="0" w:color="auto"/>
      </w:divBdr>
      <w:divsChild>
        <w:div w:id="1297447952">
          <w:marLeft w:val="0"/>
          <w:marRight w:val="0"/>
          <w:marTop w:val="0"/>
          <w:marBottom w:val="0"/>
          <w:divBdr>
            <w:top w:val="none" w:sz="0" w:space="0" w:color="auto"/>
            <w:left w:val="none" w:sz="0" w:space="0" w:color="auto"/>
            <w:bottom w:val="none" w:sz="0" w:space="0" w:color="auto"/>
            <w:right w:val="none" w:sz="0" w:space="0" w:color="auto"/>
          </w:divBdr>
        </w:div>
        <w:div w:id="1779372619">
          <w:marLeft w:val="0"/>
          <w:marRight w:val="0"/>
          <w:marTop w:val="0"/>
          <w:marBottom w:val="0"/>
          <w:divBdr>
            <w:top w:val="none" w:sz="0" w:space="0" w:color="auto"/>
            <w:left w:val="none" w:sz="0" w:space="0" w:color="auto"/>
            <w:bottom w:val="none" w:sz="0" w:space="0" w:color="auto"/>
            <w:right w:val="none" w:sz="0" w:space="0" w:color="auto"/>
          </w:divBdr>
        </w:div>
      </w:divsChild>
    </w:div>
    <w:div w:id="954405615">
      <w:bodyDiv w:val="1"/>
      <w:marLeft w:val="0"/>
      <w:marRight w:val="0"/>
      <w:marTop w:val="0"/>
      <w:marBottom w:val="0"/>
      <w:divBdr>
        <w:top w:val="none" w:sz="0" w:space="0" w:color="auto"/>
        <w:left w:val="none" w:sz="0" w:space="0" w:color="auto"/>
        <w:bottom w:val="none" w:sz="0" w:space="0" w:color="auto"/>
        <w:right w:val="none" w:sz="0" w:space="0" w:color="auto"/>
      </w:divBdr>
      <w:divsChild>
        <w:div w:id="995911423">
          <w:marLeft w:val="0"/>
          <w:marRight w:val="0"/>
          <w:marTop w:val="0"/>
          <w:marBottom w:val="0"/>
          <w:divBdr>
            <w:top w:val="none" w:sz="0" w:space="0" w:color="auto"/>
            <w:left w:val="none" w:sz="0" w:space="0" w:color="auto"/>
            <w:bottom w:val="none" w:sz="0" w:space="0" w:color="auto"/>
            <w:right w:val="none" w:sz="0" w:space="0" w:color="auto"/>
          </w:divBdr>
        </w:div>
        <w:div w:id="1517379715">
          <w:marLeft w:val="0"/>
          <w:marRight w:val="0"/>
          <w:marTop w:val="0"/>
          <w:marBottom w:val="0"/>
          <w:divBdr>
            <w:top w:val="none" w:sz="0" w:space="0" w:color="auto"/>
            <w:left w:val="none" w:sz="0" w:space="0" w:color="auto"/>
            <w:bottom w:val="none" w:sz="0" w:space="0" w:color="auto"/>
            <w:right w:val="none" w:sz="0" w:space="0" w:color="auto"/>
          </w:divBdr>
        </w:div>
      </w:divsChild>
    </w:div>
    <w:div w:id="978221982">
      <w:bodyDiv w:val="1"/>
      <w:marLeft w:val="0"/>
      <w:marRight w:val="0"/>
      <w:marTop w:val="0"/>
      <w:marBottom w:val="0"/>
      <w:divBdr>
        <w:top w:val="none" w:sz="0" w:space="0" w:color="auto"/>
        <w:left w:val="none" w:sz="0" w:space="0" w:color="auto"/>
        <w:bottom w:val="none" w:sz="0" w:space="0" w:color="auto"/>
        <w:right w:val="none" w:sz="0" w:space="0" w:color="auto"/>
      </w:divBdr>
      <w:divsChild>
        <w:div w:id="1328094329">
          <w:marLeft w:val="0"/>
          <w:marRight w:val="0"/>
          <w:marTop w:val="0"/>
          <w:marBottom w:val="0"/>
          <w:divBdr>
            <w:top w:val="none" w:sz="0" w:space="0" w:color="auto"/>
            <w:left w:val="none" w:sz="0" w:space="0" w:color="auto"/>
            <w:bottom w:val="none" w:sz="0" w:space="0" w:color="auto"/>
            <w:right w:val="none" w:sz="0" w:space="0" w:color="auto"/>
          </w:divBdr>
        </w:div>
        <w:div w:id="1720475410">
          <w:marLeft w:val="0"/>
          <w:marRight w:val="0"/>
          <w:marTop w:val="0"/>
          <w:marBottom w:val="0"/>
          <w:divBdr>
            <w:top w:val="none" w:sz="0" w:space="0" w:color="auto"/>
            <w:left w:val="none" w:sz="0" w:space="0" w:color="auto"/>
            <w:bottom w:val="none" w:sz="0" w:space="0" w:color="auto"/>
            <w:right w:val="none" w:sz="0" w:space="0" w:color="auto"/>
          </w:divBdr>
        </w:div>
        <w:div w:id="1563253473">
          <w:marLeft w:val="0"/>
          <w:marRight w:val="0"/>
          <w:marTop w:val="0"/>
          <w:marBottom w:val="0"/>
          <w:divBdr>
            <w:top w:val="none" w:sz="0" w:space="0" w:color="auto"/>
            <w:left w:val="none" w:sz="0" w:space="0" w:color="auto"/>
            <w:bottom w:val="none" w:sz="0" w:space="0" w:color="auto"/>
            <w:right w:val="none" w:sz="0" w:space="0" w:color="auto"/>
          </w:divBdr>
        </w:div>
        <w:div w:id="508178893">
          <w:marLeft w:val="0"/>
          <w:marRight w:val="0"/>
          <w:marTop w:val="0"/>
          <w:marBottom w:val="0"/>
          <w:divBdr>
            <w:top w:val="none" w:sz="0" w:space="0" w:color="auto"/>
            <w:left w:val="none" w:sz="0" w:space="0" w:color="auto"/>
            <w:bottom w:val="none" w:sz="0" w:space="0" w:color="auto"/>
            <w:right w:val="none" w:sz="0" w:space="0" w:color="auto"/>
          </w:divBdr>
        </w:div>
        <w:div w:id="321471887">
          <w:marLeft w:val="0"/>
          <w:marRight w:val="0"/>
          <w:marTop w:val="0"/>
          <w:marBottom w:val="0"/>
          <w:divBdr>
            <w:top w:val="none" w:sz="0" w:space="0" w:color="auto"/>
            <w:left w:val="none" w:sz="0" w:space="0" w:color="auto"/>
            <w:bottom w:val="none" w:sz="0" w:space="0" w:color="auto"/>
            <w:right w:val="none" w:sz="0" w:space="0" w:color="auto"/>
          </w:divBdr>
        </w:div>
        <w:div w:id="510531189">
          <w:marLeft w:val="0"/>
          <w:marRight w:val="0"/>
          <w:marTop w:val="0"/>
          <w:marBottom w:val="0"/>
          <w:divBdr>
            <w:top w:val="none" w:sz="0" w:space="0" w:color="auto"/>
            <w:left w:val="none" w:sz="0" w:space="0" w:color="auto"/>
            <w:bottom w:val="none" w:sz="0" w:space="0" w:color="auto"/>
            <w:right w:val="none" w:sz="0" w:space="0" w:color="auto"/>
          </w:divBdr>
        </w:div>
        <w:div w:id="41293626">
          <w:marLeft w:val="0"/>
          <w:marRight w:val="0"/>
          <w:marTop w:val="0"/>
          <w:marBottom w:val="0"/>
          <w:divBdr>
            <w:top w:val="none" w:sz="0" w:space="0" w:color="auto"/>
            <w:left w:val="none" w:sz="0" w:space="0" w:color="auto"/>
            <w:bottom w:val="none" w:sz="0" w:space="0" w:color="auto"/>
            <w:right w:val="none" w:sz="0" w:space="0" w:color="auto"/>
          </w:divBdr>
        </w:div>
        <w:div w:id="281110139">
          <w:marLeft w:val="0"/>
          <w:marRight w:val="0"/>
          <w:marTop w:val="0"/>
          <w:marBottom w:val="0"/>
          <w:divBdr>
            <w:top w:val="none" w:sz="0" w:space="0" w:color="auto"/>
            <w:left w:val="none" w:sz="0" w:space="0" w:color="auto"/>
            <w:bottom w:val="none" w:sz="0" w:space="0" w:color="auto"/>
            <w:right w:val="none" w:sz="0" w:space="0" w:color="auto"/>
          </w:divBdr>
        </w:div>
        <w:div w:id="760372006">
          <w:marLeft w:val="0"/>
          <w:marRight w:val="0"/>
          <w:marTop w:val="0"/>
          <w:marBottom w:val="0"/>
          <w:divBdr>
            <w:top w:val="none" w:sz="0" w:space="0" w:color="auto"/>
            <w:left w:val="none" w:sz="0" w:space="0" w:color="auto"/>
            <w:bottom w:val="none" w:sz="0" w:space="0" w:color="auto"/>
            <w:right w:val="none" w:sz="0" w:space="0" w:color="auto"/>
          </w:divBdr>
        </w:div>
        <w:div w:id="1424646462">
          <w:marLeft w:val="0"/>
          <w:marRight w:val="0"/>
          <w:marTop w:val="0"/>
          <w:marBottom w:val="0"/>
          <w:divBdr>
            <w:top w:val="none" w:sz="0" w:space="0" w:color="auto"/>
            <w:left w:val="none" w:sz="0" w:space="0" w:color="auto"/>
            <w:bottom w:val="none" w:sz="0" w:space="0" w:color="auto"/>
            <w:right w:val="none" w:sz="0" w:space="0" w:color="auto"/>
          </w:divBdr>
        </w:div>
      </w:divsChild>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099595498">
      <w:bodyDiv w:val="1"/>
      <w:marLeft w:val="0"/>
      <w:marRight w:val="0"/>
      <w:marTop w:val="0"/>
      <w:marBottom w:val="0"/>
      <w:divBdr>
        <w:top w:val="none" w:sz="0" w:space="0" w:color="auto"/>
        <w:left w:val="none" w:sz="0" w:space="0" w:color="auto"/>
        <w:bottom w:val="none" w:sz="0" w:space="0" w:color="auto"/>
        <w:right w:val="none" w:sz="0" w:space="0" w:color="auto"/>
      </w:divBdr>
      <w:divsChild>
        <w:div w:id="764348772">
          <w:marLeft w:val="0"/>
          <w:marRight w:val="0"/>
          <w:marTop w:val="0"/>
          <w:marBottom w:val="0"/>
          <w:divBdr>
            <w:top w:val="none" w:sz="0" w:space="0" w:color="auto"/>
            <w:left w:val="none" w:sz="0" w:space="0" w:color="auto"/>
            <w:bottom w:val="none" w:sz="0" w:space="0" w:color="auto"/>
            <w:right w:val="none" w:sz="0" w:space="0" w:color="auto"/>
          </w:divBdr>
        </w:div>
        <w:div w:id="1551647804">
          <w:marLeft w:val="0"/>
          <w:marRight w:val="0"/>
          <w:marTop w:val="0"/>
          <w:marBottom w:val="0"/>
          <w:divBdr>
            <w:top w:val="none" w:sz="0" w:space="0" w:color="auto"/>
            <w:left w:val="none" w:sz="0" w:space="0" w:color="auto"/>
            <w:bottom w:val="none" w:sz="0" w:space="0" w:color="auto"/>
            <w:right w:val="none" w:sz="0" w:space="0" w:color="auto"/>
          </w:divBdr>
        </w:div>
      </w:divsChild>
    </w:div>
    <w:div w:id="1130591845">
      <w:bodyDiv w:val="1"/>
      <w:marLeft w:val="0"/>
      <w:marRight w:val="0"/>
      <w:marTop w:val="0"/>
      <w:marBottom w:val="0"/>
      <w:divBdr>
        <w:top w:val="none" w:sz="0" w:space="0" w:color="auto"/>
        <w:left w:val="none" w:sz="0" w:space="0" w:color="auto"/>
        <w:bottom w:val="none" w:sz="0" w:space="0" w:color="auto"/>
        <w:right w:val="none" w:sz="0" w:space="0" w:color="auto"/>
      </w:divBdr>
      <w:divsChild>
        <w:div w:id="854730016">
          <w:marLeft w:val="0"/>
          <w:marRight w:val="0"/>
          <w:marTop w:val="0"/>
          <w:marBottom w:val="0"/>
          <w:divBdr>
            <w:top w:val="none" w:sz="0" w:space="0" w:color="auto"/>
            <w:left w:val="none" w:sz="0" w:space="0" w:color="auto"/>
            <w:bottom w:val="none" w:sz="0" w:space="0" w:color="auto"/>
            <w:right w:val="none" w:sz="0" w:space="0" w:color="auto"/>
          </w:divBdr>
        </w:div>
        <w:div w:id="1420175254">
          <w:marLeft w:val="0"/>
          <w:marRight w:val="0"/>
          <w:marTop w:val="0"/>
          <w:marBottom w:val="0"/>
          <w:divBdr>
            <w:top w:val="none" w:sz="0" w:space="0" w:color="auto"/>
            <w:left w:val="none" w:sz="0" w:space="0" w:color="auto"/>
            <w:bottom w:val="none" w:sz="0" w:space="0" w:color="auto"/>
            <w:right w:val="none" w:sz="0" w:space="0" w:color="auto"/>
          </w:divBdr>
        </w:div>
      </w:divsChild>
    </w:div>
    <w:div w:id="1175727838">
      <w:bodyDiv w:val="1"/>
      <w:marLeft w:val="0"/>
      <w:marRight w:val="0"/>
      <w:marTop w:val="0"/>
      <w:marBottom w:val="0"/>
      <w:divBdr>
        <w:top w:val="none" w:sz="0" w:space="0" w:color="auto"/>
        <w:left w:val="none" w:sz="0" w:space="0" w:color="auto"/>
        <w:bottom w:val="none" w:sz="0" w:space="0" w:color="auto"/>
        <w:right w:val="none" w:sz="0" w:space="0" w:color="auto"/>
      </w:divBdr>
      <w:divsChild>
        <w:div w:id="804202405">
          <w:marLeft w:val="0"/>
          <w:marRight w:val="0"/>
          <w:marTop w:val="0"/>
          <w:marBottom w:val="0"/>
          <w:divBdr>
            <w:top w:val="none" w:sz="0" w:space="0" w:color="auto"/>
            <w:left w:val="none" w:sz="0" w:space="0" w:color="auto"/>
            <w:bottom w:val="none" w:sz="0" w:space="0" w:color="auto"/>
            <w:right w:val="none" w:sz="0" w:space="0" w:color="auto"/>
          </w:divBdr>
        </w:div>
        <w:div w:id="2008433506">
          <w:marLeft w:val="0"/>
          <w:marRight w:val="0"/>
          <w:marTop w:val="0"/>
          <w:marBottom w:val="0"/>
          <w:divBdr>
            <w:top w:val="none" w:sz="0" w:space="0" w:color="auto"/>
            <w:left w:val="none" w:sz="0" w:space="0" w:color="auto"/>
            <w:bottom w:val="none" w:sz="0" w:space="0" w:color="auto"/>
            <w:right w:val="none" w:sz="0" w:space="0" w:color="auto"/>
          </w:divBdr>
        </w:div>
        <w:div w:id="457529705">
          <w:marLeft w:val="0"/>
          <w:marRight w:val="0"/>
          <w:marTop w:val="0"/>
          <w:marBottom w:val="0"/>
          <w:divBdr>
            <w:top w:val="none" w:sz="0" w:space="0" w:color="auto"/>
            <w:left w:val="none" w:sz="0" w:space="0" w:color="auto"/>
            <w:bottom w:val="none" w:sz="0" w:space="0" w:color="auto"/>
            <w:right w:val="none" w:sz="0" w:space="0" w:color="auto"/>
          </w:divBdr>
        </w:div>
        <w:div w:id="932056587">
          <w:marLeft w:val="0"/>
          <w:marRight w:val="0"/>
          <w:marTop w:val="0"/>
          <w:marBottom w:val="0"/>
          <w:divBdr>
            <w:top w:val="none" w:sz="0" w:space="0" w:color="auto"/>
            <w:left w:val="none" w:sz="0" w:space="0" w:color="auto"/>
            <w:bottom w:val="none" w:sz="0" w:space="0" w:color="auto"/>
            <w:right w:val="none" w:sz="0" w:space="0" w:color="auto"/>
          </w:divBdr>
        </w:div>
        <w:div w:id="1132596539">
          <w:marLeft w:val="0"/>
          <w:marRight w:val="0"/>
          <w:marTop w:val="0"/>
          <w:marBottom w:val="0"/>
          <w:divBdr>
            <w:top w:val="none" w:sz="0" w:space="0" w:color="auto"/>
            <w:left w:val="none" w:sz="0" w:space="0" w:color="auto"/>
            <w:bottom w:val="none" w:sz="0" w:space="0" w:color="auto"/>
            <w:right w:val="none" w:sz="0" w:space="0" w:color="auto"/>
          </w:divBdr>
        </w:div>
        <w:div w:id="474638507">
          <w:marLeft w:val="0"/>
          <w:marRight w:val="0"/>
          <w:marTop w:val="0"/>
          <w:marBottom w:val="0"/>
          <w:divBdr>
            <w:top w:val="none" w:sz="0" w:space="0" w:color="auto"/>
            <w:left w:val="none" w:sz="0" w:space="0" w:color="auto"/>
            <w:bottom w:val="none" w:sz="0" w:space="0" w:color="auto"/>
            <w:right w:val="none" w:sz="0" w:space="0" w:color="auto"/>
          </w:divBdr>
        </w:div>
        <w:div w:id="54285385">
          <w:marLeft w:val="0"/>
          <w:marRight w:val="0"/>
          <w:marTop w:val="0"/>
          <w:marBottom w:val="0"/>
          <w:divBdr>
            <w:top w:val="none" w:sz="0" w:space="0" w:color="auto"/>
            <w:left w:val="none" w:sz="0" w:space="0" w:color="auto"/>
            <w:bottom w:val="none" w:sz="0" w:space="0" w:color="auto"/>
            <w:right w:val="none" w:sz="0" w:space="0" w:color="auto"/>
          </w:divBdr>
        </w:div>
        <w:div w:id="169569116">
          <w:marLeft w:val="0"/>
          <w:marRight w:val="0"/>
          <w:marTop w:val="0"/>
          <w:marBottom w:val="0"/>
          <w:divBdr>
            <w:top w:val="none" w:sz="0" w:space="0" w:color="auto"/>
            <w:left w:val="none" w:sz="0" w:space="0" w:color="auto"/>
            <w:bottom w:val="none" w:sz="0" w:space="0" w:color="auto"/>
            <w:right w:val="none" w:sz="0" w:space="0" w:color="auto"/>
          </w:divBdr>
        </w:div>
      </w:divsChild>
    </w:div>
    <w:div w:id="1176728022">
      <w:bodyDiv w:val="1"/>
      <w:marLeft w:val="0"/>
      <w:marRight w:val="0"/>
      <w:marTop w:val="0"/>
      <w:marBottom w:val="0"/>
      <w:divBdr>
        <w:top w:val="none" w:sz="0" w:space="0" w:color="auto"/>
        <w:left w:val="none" w:sz="0" w:space="0" w:color="auto"/>
        <w:bottom w:val="none" w:sz="0" w:space="0" w:color="auto"/>
        <w:right w:val="none" w:sz="0" w:space="0" w:color="auto"/>
      </w:divBdr>
      <w:divsChild>
        <w:div w:id="585041046">
          <w:marLeft w:val="0"/>
          <w:marRight w:val="0"/>
          <w:marTop w:val="0"/>
          <w:marBottom w:val="0"/>
          <w:divBdr>
            <w:top w:val="none" w:sz="0" w:space="0" w:color="auto"/>
            <w:left w:val="none" w:sz="0" w:space="0" w:color="auto"/>
            <w:bottom w:val="none" w:sz="0" w:space="0" w:color="auto"/>
            <w:right w:val="none" w:sz="0" w:space="0" w:color="auto"/>
          </w:divBdr>
        </w:div>
        <w:div w:id="2043826380">
          <w:marLeft w:val="0"/>
          <w:marRight w:val="0"/>
          <w:marTop w:val="0"/>
          <w:marBottom w:val="0"/>
          <w:divBdr>
            <w:top w:val="none" w:sz="0" w:space="0" w:color="auto"/>
            <w:left w:val="none" w:sz="0" w:space="0" w:color="auto"/>
            <w:bottom w:val="none" w:sz="0" w:space="0" w:color="auto"/>
            <w:right w:val="none" w:sz="0" w:space="0" w:color="auto"/>
          </w:divBdr>
        </w:div>
      </w:divsChild>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06065440">
      <w:bodyDiv w:val="1"/>
      <w:marLeft w:val="0"/>
      <w:marRight w:val="0"/>
      <w:marTop w:val="0"/>
      <w:marBottom w:val="0"/>
      <w:divBdr>
        <w:top w:val="none" w:sz="0" w:space="0" w:color="auto"/>
        <w:left w:val="none" w:sz="0" w:space="0" w:color="auto"/>
        <w:bottom w:val="none" w:sz="0" w:space="0" w:color="auto"/>
        <w:right w:val="none" w:sz="0" w:space="0" w:color="auto"/>
      </w:divBdr>
      <w:divsChild>
        <w:div w:id="1238050507">
          <w:marLeft w:val="0"/>
          <w:marRight w:val="0"/>
          <w:marTop w:val="0"/>
          <w:marBottom w:val="0"/>
          <w:divBdr>
            <w:top w:val="none" w:sz="0" w:space="0" w:color="auto"/>
            <w:left w:val="none" w:sz="0" w:space="0" w:color="auto"/>
            <w:bottom w:val="none" w:sz="0" w:space="0" w:color="auto"/>
            <w:right w:val="none" w:sz="0" w:space="0" w:color="auto"/>
          </w:divBdr>
        </w:div>
      </w:divsChild>
    </w:div>
    <w:div w:id="1279722803">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315719902">
      <w:bodyDiv w:val="1"/>
      <w:marLeft w:val="0"/>
      <w:marRight w:val="0"/>
      <w:marTop w:val="0"/>
      <w:marBottom w:val="0"/>
      <w:divBdr>
        <w:top w:val="none" w:sz="0" w:space="0" w:color="auto"/>
        <w:left w:val="none" w:sz="0" w:space="0" w:color="auto"/>
        <w:bottom w:val="none" w:sz="0" w:space="0" w:color="auto"/>
        <w:right w:val="none" w:sz="0" w:space="0" w:color="auto"/>
      </w:divBdr>
      <w:divsChild>
        <w:div w:id="1190991238">
          <w:marLeft w:val="0"/>
          <w:marRight w:val="0"/>
          <w:marTop w:val="0"/>
          <w:marBottom w:val="0"/>
          <w:divBdr>
            <w:top w:val="none" w:sz="0" w:space="0" w:color="auto"/>
            <w:left w:val="none" w:sz="0" w:space="0" w:color="auto"/>
            <w:bottom w:val="none" w:sz="0" w:space="0" w:color="auto"/>
            <w:right w:val="none" w:sz="0" w:space="0" w:color="auto"/>
          </w:divBdr>
        </w:div>
      </w:divsChild>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30733545">
      <w:bodyDiv w:val="1"/>
      <w:marLeft w:val="0"/>
      <w:marRight w:val="0"/>
      <w:marTop w:val="0"/>
      <w:marBottom w:val="0"/>
      <w:divBdr>
        <w:top w:val="none" w:sz="0" w:space="0" w:color="auto"/>
        <w:left w:val="none" w:sz="0" w:space="0" w:color="auto"/>
        <w:bottom w:val="none" w:sz="0" w:space="0" w:color="auto"/>
        <w:right w:val="none" w:sz="0" w:space="0" w:color="auto"/>
      </w:divBdr>
      <w:divsChild>
        <w:div w:id="430079893">
          <w:marLeft w:val="0"/>
          <w:marRight w:val="0"/>
          <w:marTop w:val="0"/>
          <w:marBottom w:val="0"/>
          <w:divBdr>
            <w:top w:val="none" w:sz="0" w:space="0" w:color="auto"/>
            <w:left w:val="none" w:sz="0" w:space="0" w:color="auto"/>
            <w:bottom w:val="none" w:sz="0" w:space="0" w:color="auto"/>
            <w:right w:val="none" w:sz="0" w:space="0" w:color="auto"/>
          </w:divBdr>
        </w:div>
        <w:div w:id="311523829">
          <w:marLeft w:val="0"/>
          <w:marRight w:val="0"/>
          <w:marTop w:val="0"/>
          <w:marBottom w:val="0"/>
          <w:divBdr>
            <w:top w:val="none" w:sz="0" w:space="0" w:color="auto"/>
            <w:left w:val="none" w:sz="0" w:space="0" w:color="auto"/>
            <w:bottom w:val="none" w:sz="0" w:space="0" w:color="auto"/>
            <w:right w:val="none" w:sz="0" w:space="0" w:color="auto"/>
          </w:divBdr>
        </w:div>
        <w:div w:id="1471509680">
          <w:marLeft w:val="0"/>
          <w:marRight w:val="0"/>
          <w:marTop w:val="0"/>
          <w:marBottom w:val="0"/>
          <w:divBdr>
            <w:top w:val="none" w:sz="0" w:space="0" w:color="auto"/>
            <w:left w:val="none" w:sz="0" w:space="0" w:color="auto"/>
            <w:bottom w:val="none" w:sz="0" w:space="0" w:color="auto"/>
            <w:right w:val="none" w:sz="0" w:space="0" w:color="auto"/>
          </w:divBdr>
        </w:div>
        <w:div w:id="475489366">
          <w:marLeft w:val="0"/>
          <w:marRight w:val="0"/>
          <w:marTop w:val="0"/>
          <w:marBottom w:val="0"/>
          <w:divBdr>
            <w:top w:val="none" w:sz="0" w:space="0" w:color="auto"/>
            <w:left w:val="none" w:sz="0" w:space="0" w:color="auto"/>
            <w:bottom w:val="none" w:sz="0" w:space="0" w:color="auto"/>
            <w:right w:val="none" w:sz="0" w:space="0" w:color="auto"/>
          </w:divBdr>
        </w:div>
      </w:divsChild>
    </w:div>
    <w:div w:id="1456484885">
      <w:bodyDiv w:val="1"/>
      <w:marLeft w:val="0"/>
      <w:marRight w:val="0"/>
      <w:marTop w:val="0"/>
      <w:marBottom w:val="0"/>
      <w:divBdr>
        <w:top w:val="none" w:sz="0" w:space="0" w:color="auto"/>
        <w:left w:val="none" w:sz="0" w:space="0" w:color="auto"/>
        <w:bottom w:val="none" w:sz="0" w:space="0" w:color="auto"/>
        <w:right w:val="none" w:sz="0" w:space="0" w:color="auto"/>
      </w:divBdr>
      <w:divsChild>
        <w:div w:id="1307659504">
          <w:marLeft w:val="0"/>
          <w:marRight w:val="0"/>
          <w:marTop w:val="0"/>
          <w:marBottom w:val="0"/>
          <w:divBdr>
            <w:top w:val="none" w:sz="0" w:space="0" w:color="auto"/>
            <w:left w:val="none" w:sz="0" w:space="0" w:color="auto"/>
            <w:bottom w:val="none" w:sz="0" w:space="0" w:color="auto"/>
            <w:right w:val="none" w:sz="0" w:space="0" w:color="auto"/>
          </w:divBdr>
        </w:div>
        <w:div w:id="693045597">
          <w:marLeft w:val="0"/>
          <w:marRight w:val="0"/>
          <w:marTop w:val="0"/>
          <w:marBottom w:val="0"/>
          <w:divBdr>
            <w:top w:val="none" w:sz="0" w:space="0" w:color="auto"/>
            <w:left w:val="none" w:sz="0" w:space="0" w:color="auto"/>
            <w:bottom w:val="none" w:sz="0" w:space="0" w:color="auto"/>
            <w:right w:val="none" w:sz="0" w:space="0" w:color="auto"/>
          </w:divBdr>
        </w:div>
        <w:div w:id="803236053">
          <w:marLeft w:val="0"/>
          <w:marRight w:val="0"/>
          <w:marTop w:val="0"/>
          <w:marBottom w:val="0"/>
          <w:divBdr>
            <w:top w:val="none" w:sz="0" w:space="0" w:color="auto"/>
            <w:left w:val="none" w:sz="0" w:space="0" w:color="auto"/>
            <w:bottom w:val="none" w:sz="0" w:space="0" w:color="auto"/>
            <w:right w:val="none" w:sz="0" w:space="0" w:color="auto"/>
          </w:divBdr>
        </w:div>
      </w:divsChild>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637567667">
      <w:bodyDiv w:val="1"/>
      <w:marLeft w:val="0"/>
      <w:marRight w:val="0"/>
      <w:marTop w:val="0"/>
      <w:marBottom w:val="0"/>
      <w:divBdr>
        <w:top w:val="none" w:sz="0" w:space="0" w:color="auto"/>
        <w:left w:val="none" w:sz="0" w:space="0" w:color="auto"/>
        <w:bottom w:val="none" w:sz="0" w:space="0" w:color="auto"/>
        <w:right w:val="none" w:sz="0" w:space="0" w:color="auto"/>
      </w:divBdr>
      <w:divsChild>
        <w:div w:id="1411927154">
          <w:marLeft w:val="0"/>
          <w:marRight w:val="0"/>
          <w:marTop w:val="0"/>
          <w:marBottom w:val="0"/>
          <w:divBdr>
            <w:top w:val="none" w:sz="0" w:space="0" w:color="auto"/>
            <w:left w:val="none" w:sz="0" w:space="0" w:color="auto"/>
            <w:bottom w:val="none" w:sz="0" w:space="0" w:color="auto"/>
            <w:right w:val="none" w:sz="0" w:space="0" w:color="auto"/>
          </w:divBdr>
        </w:div>
      </w:divsChild>
    </w:div>
    <w:div w:id="1740248258">
      <w:bodyDiv w:val="1"/>
      <w:marLeft w:val="0"/>
      <w:marRight w:val="0"/>
      <w:marTop w:val="0"/>
      <w:marBottom w:val="0"/>
      <w:divBdr>
        <w:top w:val="none" w:sz="0" w:space="0" w:color="auto"/>
        <w:left w:val="none" w:sz="0" w:space="0" w:color="auto"/>
        <w:bottom w:val="none" w:sz="0" w:space="0" w:color="auto"/>
        <w:right w:val="none" w:sz="0" w:space="0" w:color="auto"/>
      </w:divBdr>
      <w:divsChild>
        <w:div w:id="917132827">
          <w:marLeft w:val="0"/>
          <w:marRight w:val="0"/>
          <w:marTop w:val="0"/>
          <w:marBottom w:val="0"/>
          <w:divBdr>
            <w:top w:val="none" w:sz="0" w:space="0" w:color="auto"/>
            <w:left w:val="none" w:sz="0" w:space="0" w:color="auto"/>
            <w:bottom w:val="none" w:sz="0" w:space="0" w:color="auto"/>
            <w:right w:val="none" w:sz="0" w:space="0" w:color="auto"/>
          </w:divBdr>
        </w:div>
        <w:div w:id="1558668130">
          <w:marLeft w:val="0"/>
          <w:marRight w:val="0"/>
          <w:marTop w:val="0"/>
          <w:marBottom w:val="0"/>
          <w:divBdr>
            <w:top w:val="none" w:sz="0" w:space="0" w:color="auto"/>
            <w:left w:val="none" w:sz="0" w:space="0" w:color="auto"/>
            <w:bottom w:val="none" w:sz="0" w:space="0" w:color="auto"/>
            <w:right w:val="none" w:sz="0" w:space="0" w:color="auto"/>
          </w:divBdr>
        </w:div>
        <w:div w:id="1122190302">
          <w:marLeft w:val="0"/>
          <w:marRight w:val="0"/>
          <w:marTop w:val="0"/>
          <w:marBottom w:val="0"/>
          <w:divBdr>
            <w:top w:val="none" w:sz="0" w:space="0" w:color="auto"/>
            <w:left w:val="none" w:sz="0" w:space="0" w:color="auto"/>
            <w:bottom w:val="none" w:sz="0" w:space="0" w:color="auto"/>
            <w:right w:val="none" w:sz="0" w:space="0" w:color="auto"/>
          </w:divBdr>
        </w:div>
        <w:div w:id="1186597675">
          <w:marLeft w:val="0"/>
          <w:marRight w:val="0"/>
          <w:marTop w:val="0"/>
          <w:marBottom w:val="0"/>
          <w:divBdr>
            <w:top w:val="none" w:sz="0" w:space="0" w:color="auto"/>
            <w:left w:val="none" w:sz="0" w:space="0" w:color="auto"/>
            <w:bottom w:val="none" w:sz="0" w:space="0" w:color="auto"/>
            <w:right w:val="none" w:sz="0" w:space="0" w:color="auto"/>
          </w:divBdr>
        </w:div>
        <w:div w:id="1812210610">
          <w:marLeft w:val="0"/>
          <w:marRight w:val="0"/>
          <w:marTop w:val="0"/>
          <w:marBottom w:val="0"/>
          <w:divBdr>
            <w:top w:val="none" w:sz="0" w:space="0" w:color="auto"/>
            <w:left w:val="none" w:sz="0" w:space="0" w:color="auto"/>
            <w:bottom w:val="none" w:sz="0" w:space="0" w:color="auto"/>
            <w:right w:val="none" w:sz="0" w:space="0" w:color="auto"/>
          </w:divBdr>
        </w:div>
      </w:divsChild>
    </w:div>
    <w:div w:id="1747073697">
      <w:bodyDiv w:val="1"/>
      <w:marLeft w:val="0"/>
      <w:marRight w:val="0"/>
      <w:marTop w:val="0"/>
      <w:marBottom w:val="0"/>
      <w:divBdr>
        <w:top w:val="none" w:sz="0" w:space="0" w:color="auto"/>
        <w:left w:val="none" w:sz="0" w:space="0" w:color="auto"/>
        <w:bottom w:val="none" w:sz="0" w:space="0" w:color="auto"/>
        <w:right w:val="none" w:sz="0" w:space="0" w:color="auto"/>
      </w:divBdr>
      <w:divsChild>
        <w:div w:id="1372919648">
          <w:marLeft w:val="0"/>
          <w:marRight w:val="0"/>
          <w:marTop w:val="0"/>
          <w:marBottom w:val="0"/>
          <w:divBdr>
            <w:top w:val="none" w:sz="0" w:space="0" w:color="auto"/>
            <w:left w:val="none" w:sz="0" w:space="0" w:color="auto"/>
            <w:bottom w:val="none" w:sz="0" w:space="0" w:color="auto"/>
            <w:right w:val="none" w:sz="0" w:space="0" w:color="auto"/>
          </w:divBdr>
        </w:div>
        <w:div w:id="1079015719">
          <w:marLeft w:val="0"/>
          <w:marRight w:val="0"/>
          <w:marTop w:val="0"/>
          <w:marBottom w:val="0"/>
          <w:divBdr>
            <w:top w:val="none" w:sz="0" w:space="0" w:color="auto"/>
            <w:left w:val="none" w:sz="0" w:space="0" w:color="auto"/>
            <w:bottom w:val="none" w:sz="0" w:space="0" w:color="auto"/>
            <w:right w:val="none" w:sz="0" w:space="0" w:color="auto"/>
          </w:divBdr>
        </w:div>
      </w:divsChild>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795369846">
      <w:bodyDiv w:val="1"/>
      <w:marLeft w:val="0"/>
      <w:marRight w:val="0"/>
      <w:marTop w:val="0"/>
      <w:marBottom w:val="0"/>
      <w:divBdr>
        <w:top w:val="none" w:sz="0" w:space="0" w:color="auto"/>
        <w:left w:val="none" w:sz="0" w:space="0" w:color="auto"/>
        <w:bottom w:val="none" w:sz="0" w:space="0" w:color="auto"/>
        <w:right w:val="none" w:sz="0" w:space="0" w:color="auto"/>
      </w:divBdr>
      <w:divsChild>
        <w:div w:id="1520437352">
          <w:marLeft w:val="0"/>
          <w:marRight w:val="0"/>
          <w:marTop w:val="0"/>
          <w:marBottom w:val="0"/>
          <w:divBdr>
            <w:top w:val="none" w:sz="0" w:space="0" w:color="auto"/>
            <w:left w:val="none" w:sz="0" w:space="0" w:color="auto"/>
            <w:bottom w:val="none" w:sz="0" w:space="0" w:color="auto"/>
            <w:right w:val="none" w:sz="0" w:space="0" w:color="auto"/>
          </w:divBdr>
        </w:div>
        <w:div w:id="386148698">
          <w:marLeft w:val="0"/>
          <w:marRight w:val="0"/>
          <w:marTop w:val="0"/>
          <w:marBottom w:val="0"/>
          <w:divBdr>
            <w:top w:val="none" w:sz="0" w:space="0" w:color="auto"/>
            <w:left w:val="none" w:sz="0" w:space="0" w:color="auto"/>
            <w:bottom w:val="none" w:sz="0" w:space="0" w:color="auto"/>
            <w:right w:val="none" w:sz="0" w:space="0" w:color="auto"/>
          </w:divBdr>
        </w:div>
      </w:divsChild>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NNIS%20%20MENGE\AppData\Roaming\Microsoft\Templates\APA%20style%20paper(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075249612"/>
        <w:category>
          <w:name w:val="General"/>
          <w:gallery w:val="placeholder"/>
        </w:category>
        <w:types>
          <w:type w:val="bbPlcHdr"/>
        </w:types>
        <w:behaviors>
          <w:behavior w:val="content"/>
        </w:behaviors>
        <w:guid w:val="{E81EF37C-13F3-4975-9870-34E7933D399F}"/>
      </w:docPartPr>
      <w:docPartBody>
        <w:p w:rsidR="00ED061C" w:rsidRDefault="00A3650C">
          <w:r w:rsidRPr="00BE19B0">
            <w:rPr>
              <w:rStyle w:val="PlaceholderText"/>
            </w:rPr>
            <w:t>Type equation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650C"/>
    <w:rsid w:val="00A3650C"/>
    <w:rsid w:val="00ED06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5" w:unhideWhenUsed="1" w:qFormat="1"/>
    <w:lsdException w:name="heading 4" w:semiHidden="1" w:uiPriority="5" w:unhideWhenUsed="1" w:qFormat="1"/>
    <w:lsdException w:name="heading 5" w:semiHidden="1" w:uiPriority="5"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4"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next w:val="Normal"/>
    <w:link w:val="Heading3Char"/>
    <w:uiPriority w:val="5"/>
    <w:qFormat/>
    <w:pPr>
      <w:keepNext/>
      <w:keepLines/>
      <w:spacing w:after="0" w:line="480" w:lineRule="auto"/>
      <w:ind w:firstLine="720"/>
      <w:outlineLvl w:val="2"/>
    </w:pPr>
    <w:rPr>
      <w:rFonts w:asciiTheme="majorHAnsi" w:eastAsiaTheme="majorEastAsia" w:hAnsiTheme="majorHAnsi" w:cstheme="majorBidi"/>
      <w:b/>
      <w:bCs/>
      <w:color w:val="000000" w:themeColor="text1"/>
      <w:sz w:val="24"/>
      <w:szCs w:val="24"/>
      <w:lang w:val="en-US" w:eastAsia="ja-JP"/>
    </w:rPr>
  </w:style>
  <w:style w:type="paragraph" w:styleId="Heading4">
    <w:name w:val="heading 4"/>
    <w:basedOn w:val="Normal"/>
    <w:next w:val="Normal"/>
    <w:link w:val="Heading4Char"/>
    <w:uiPriority w:val="5"/>
    <w:qFormat/>
    <w:pPr>
      <w:keepNext/>
      <w:keepLines/>
      <w:spacing w:after="0" w:line="480" w:lineRule="auto"/>
      <w:ind w:firstLine="720"/>
      <w:outlineLvl w:val="3"/>
    </w:pPr>
    <w:rPr>
      <w:rFonts w:asciiTheme="majorHAnsi" w:eastAsiaTheme="majorEastAsia" w:hAnsiTheme="majorHAnsi" w:cstheme="majorBidi"/>
      <w:b/>
      <w:bCs/>
      <w:i/>
      <w:iCs/>
      <w:color w:val="000000" w:themeColor="text1"/>
      <w:sz w:val="24"/>
      <w:szCs w:val="24"/>
      <w:lang w:val="en-US" w:eastAsia="ja-JP"/>
    </w:rPr>
  </w:style>
  <w:style w:type="paragraph" w:styleId="Heading5">
    <w:name w:val="heading 5"/>
    <w:basedOn w:val="Normal"/>
    <w:next w:val="Normal"/>
    <w:link w:val="Heading5Char"/>
    <w:uiPriority w:val="5"/>
    <w:qFormat/>
    <w:pPr>
      <w:keepNext/>
      <w:keepLines/>
      <w:spacing w:after="0" w:line="480" w:lineRule="auto"/>
      <w:ind w:firstLine="720"/>
      <w:outlineLvl w:val="4"/>
    </w:pPr>
    <w:rPr>
      <w:rFonts w:asciiTheme="majorHAnsi" w:eastAsiaTheme="majorEastAsia" w:hAnsiTheme="majorHAnsi" w:cstheme="majorBidi"/>
      <w:i/>
      <w:iCs/>
      <w:color w:val="000000" w:themeColor="text1"/>
      <w:sz w:val="24"/>
      <w:szCs w:val="24"/>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600F42BCC0E417EBBAFC67663586B23">
    <w:name w:val="F600F42BCC0E417EBBAFC67663586B23"/>
  </w:style>
  <w:style w:type="paragraph" w:customStyle="1" w:styleId="9430F9B4605E41C4944EEF53E3CD0E79">
    <w:name w:val="9430F9B4605E41C4944EEF53E3CD0E79"/>
  </w:style>
  <w:style w:type="paragraph" w:customStyle="1" w:styleId="4B77A910DD2B4065AD1A19A6C7F80649">
    <w:name w:val="4B77A910DD2B4065AD1A19A6C7F80649"/>
  </w:style>
  <w:style w:type="paragraph" w:customStyle="1" w:styleId="B6F1551ED4D549B69423A5CA7F9339A3">
    <w:name w:val="B6F1551ED4D549B69423A5CA7F9339A3"/>
  </w:style>
  <w:style w:type="character" w:styleId="Emphasis">
    <w:name w:val="Emphasis"/>
    <w:basedOn w:val="DefaultParagraphFont"/>
    <w:uiPriority w:val="4"/>
    <w:unhideWhenUsed/>
    <w:qFormat/>
    <w:rPr>
      <w:i/>
      <w:iCs/>
    </w:rPr>
  </w:style>
  <w:style w:type="paragraph" w:customStyle="1" w:styleId="A1A35D89BB5C4031A29F40449108361A">
    <w:name w:val="A1A35D89BB5C4031A29F40449108361A"/>
  </w:style>
  <w:style w:type="paragraph" w:customStyle="1" w:styleId="B0511DB708244EE3AB9E46152FA99CB3">
    <w:name w:val="B0511DB708244EE3AB9E46152FA99CB3"/>
  </w:style>
  <w:style w:type="paragraph" w:customStyle="1" w:styleId="E674193EAFB847F883AFDB23CC28A8EA">
    <w:name w:val="E674193EAFB847F883AFDB23CC28A8EA"/>
  </w:style>
  <w:style w:type="paragraph" w:customStyle="1" w:styleId="3387DC633BD948719EF22F241B6E8DB6">
    <w:name w:val="3387DC633BD948719EF22F241B6E8DB6"/>
  </w:style>
  <w:style w:type="paragraph" w:customStyle="1" w:styleId="D98264268F904F83B31F94E9DE9884FC">
    <w:name w:val="D98264268F904F83B31F94E9DE9884FC"/>
  </w:style>
  <w:style w:type="paragraph" w:customStyle="1" w:styleId="F8354DEFDDAE42668E4391A4147CD8E4">
    <w:name w:val="F8354DEFDDAE42668E4391A4147CD8E4"/>
  </w:style>
  <w:style w:type="character" w:styleId="FootnoteReference">
    <w:name w:val="footnote reference"/>
    <w:basedOn w:val="DefaultParagraphFont"/>
    <w:uiPriority w:val="99"/>
    <w:qFormat/>
    <w:rPr>
      <w:vertAlign w:val="superscript"/>
    </w:rPr>
  </w:style>
  <w:style w:type="paragraph" w:customStyle="1" w:styleId="6598E9D8E8A7401794E14A0EA45A5486">
    <w:name w:val="6598E9D8E8A7401794E14A0EA45A5486"/>
  </w:style>
  <w:style w:type="paragraph" w:customStyle="1" w:styleId="F4DADE3E7013440B82D838C4CB59EBBD">
    <w:name w:val="F4DADE3E7013440B82D838C4CB59EBBD"/>
  </w:style>
  <w:style w:type="character" w:customStyle="1" w:styleId="Heading3Char">
    <w:name w:val="Heading 3 Char"/>
    <w:basedOn w:val="DefaultParagraphFont"/>
    <w:link w:val="Heading3"/>
    <w:uiPriority w:val="5"/>
    <w:rPr>
      <w:rFonts w:asciiTheme="majorHAnsi" w:eastAsiaTheme="majorEastAsia" w:hAnsiTheme="majorHAnsi" w:cstheme="majorBidi"/>
      <w:b/>
      <w:bCs/>
      <w:color w:val="000000" w:themeColor="text1"/>
      <w:sz w:val="24"/>
      <w:szCs w:val="24"/>
      <w:lang w:val="en-US" w:eastAsia="ja-JP"/>
    </w:rPr>
  </w:style>
  <w:style w:type="paragraph" w:customStyle="1" w:styleId="421DE155A8F840ECAE47525E0E7EED4A">
    <w:name w:val="421DE155A8F840ECAE47525E0E7EED4A"/>
  </w:style>
  <w:style w:type="paragraph" w:customStyle="1" w:styleId="8B5F4D26F0D7453FAB8B7B6742A7DC77">
    <w:name w:val="8B5F4D26F0D7453FAB8B7B6742A7DC77"/>
  </w:style>
  <w:style w:type="character" w:customStyle="1" w:styleId="Heading4Char">
    <w:name w:val="Heading 4 Char"/>
    <w:basedOn w:val="DefaultParagraphFont"/>
    <w:link w:val="Heading4"/>
    <w:uiPriority w:val="5"/>
    <w:rPr>
      <w:rFonts w:asciiTheme="majorHAnsi" w:eastAsiaTheme="majorEastAsia" w:hAnsiTheme="majorHAnsi" w:cstheme="majorBidi"/>
      <w:b/>
      <w:bCs/>
      <w:i/>
      <w:iCs/>
      <w:color w:val="000000" w:themeColor="text1"/>
      <w:sz w:val="24"/>
      <w:szCs w:val="24"/>
      <w:lang w:val="en-US" w:eastAsia="ja-JP"/>
    </w:rPr>
  </w:style>
  <w:style w:type="paragraph" w:customStyle="1" w:styleId="FA0EC3D2B9E54EA0BF356076E81FA77B">
    <w:name w:val="FA0EC3D2B9E54EA0BF356076E81FA77B"/>
  </w:style>
  <w:style w:type="paragraph" w:customStyle="1" w:styleId="D8DCA2FC22EC44D0BEFF00E61D71161F">
    <w:name w:val="D8DCA2FC22EC44D0BEFF00E61D71161F"/>
  </w:style>
  <w:style w:type="character" w:customStyle="1" w:styleId="Heading5Char">
    <w:name w:val="Heading 5 Char"/>
    <w:basedOn w:val="DefaultParagraphFont"/>
    <w:link w:val="Heading5"/>
    <w:uiPriority w:val="5"/>
    <w:rPr>
      <w:rFonts w:asciiTheme="majorHAnsi" w:eastAsiaTheme="majorEastAsia" w:hAnsiTheme="majorHAnsi" w:cstheme="majorBidi"/>
      <w:i/>
      <w:iCs/>
      <w:color w:val="000000" w:themeColor="text1"/>
      <w:sz w:val="24"/>
      <w:szCs w:val="24"/>
      <w:lang w:val="en-US" w:eastAsia="ja-JP"/>
    </w:rPr>
  </w:style>
  <w:style w:type="paragraph" w:customStyle="1" w:styleId="0DE017D04D7D4AD5899AC6C8CD87E8E2">
    <w:name w:val="0DE017D04D7D4AD5899AC6C8CD87E8E2"/>
  </w:style>
  <w:style w:type="paragraph" w:customStyle="1" w:styleId="B24CF637164543CF8FFBB96D051E1517">
    <w:name w:val="B24CF637164543CF8FFBB96D051E1517"/>
  </w:style>
  <w:style w:type="paragraph" w:customStyle="1" w:styleId="F7CD33ECCAD242EC8623E31BD0EAD0A4">
    <w:name w:val="F7CD33ECCAD242EC8623E31BD0EAD0A4"/>
  </w:style>
  <w:style w:type="paragraph" w:customStyle="1" w:styleId="FFE0ACFDC65849FA8D06F3BADC69C365">
    <w:name w:val="FFE0ACFDC65849FA8D06F3BADC69C365"/>
  </w:style>
  <w:style w:type="paragraph" w:customStyle="1" w:styleId="FF230938088F4BAB848959D100CC7B21">
    <w:name w:val="FF230938088F4BAB848959D100CC7B21"/>
  </w:style>
  <w:style w:type="paragraph" w:customStyle="1" w:styleId="507E7B84548E4BDC9CB1C403AA096D16">
    <w:name w:val="507E7B84548E4BDC9CB1C403AA096D16"/>
  </w:style>
  <w:style w:type="paragraph" w:customStyle="1" w:styleId="53B8CC28FD344927B29016FAAD73D7CC">
    <w:name w:val="53B8CC28FD344927B29016FAAD73D7CC"/>
  </w:style>
  <w:style w:type="paragraph" w:customStyle="1" w:styleId="6A577E77BAC24CF9BADEAC63957A634B">
    <w:name w:val="6A577E77BAC24CF9BADEAC63957A634B"/>
  </w:style>
  <w:style w:type="paragraph" w:customStyle="1" w:styleId="429F5D4CD62C4CC58611D56F627CD64F">
    <w:name w:val="429F5D4CD62C4CC58611D56F627CD64F"/>
  </w:style>
  <w:style w:type="paragraph" w:customStyle="1" w:styleId="7850AA116D9B46299FB647EA6812E50D">
    <w:name w:val="7850AA116D9B46299FB647EA6812E50D"/>
  </w:style>
  <w:style w:type="paragraph" w:customStyle="1" w:styleId="0C43F938739B4E91BE730A0DA4AC2996">
    <w:name w:val="0C43F938739B4E91BE730A0DA4AC2996"/>
  </w:style>
  <w:style w:type="paragraph" w:customStyle="1" w:styleId="383CC4FA44CB47F288FA21FFB9965960">
    <w:name w:val="383CC4FA44CB47F288FA21FFB9965960"/>
  </w:style>
  <w:style w:type="paragraph" w:customStyle="1" w:styleId="65DAB44361924CF0A5361F3C7A7DAAFD">
    <w:name w:val="65DAB44361924CF0A5361F3C7A7DAAFD"/>
  </w:style>
  <w:style w:type="paragraph" w:customStyle="1" w:styleId="12AB9C91D41C4898A0C922CC8E154A07">
    <w:name w:val="12AB9C91D41C4898A0C922CC8E154A07"/>
  </w:style>
  <w:style w:type="paragraph" w:customStyle="1" w:styleId="036CCB6F1EF740439B89E5D576BEB062">
    <w:name w:val="036CCB6F1EF740439B89E5D576BEB062"/>
  </w:style>
  <w:style w:type="paragraph" w:customStyle="1" w:styleId="A3B104BBBCBC497C98CB05F652760D6B">
    <w:name w:val="A3B104BBBCBC497C98CB05F652760D6B"/>
  </w:style>
  <w:style w:type="paragraph" w:customStyle="1" w:styleId="1138A533D2254379B92E1AD31DF4297F">
    <w:name w:val="1138A533D2254379B92E1AD31DF4297F"/>
  </w:style>
  <w:style w:type="paragraph" w:customStyle="1" w:styleId="BA4638C8CBEC4C8EA30BA1AD3F6DF9BC">
    <w:name w:val="BA4638C8CBEC4C8EA30BA1AD3F6DF9BC"/>
  </w:style>
  <w:style w:type="paragraph" w:customStyle="1" w:styleId="36A56487A46B427894563423B87F9B03">
    <w:name w:val="36A56487A46B427894563423B87F9B03"/>
  </w:style>
  <w:style w:type="paragraph" w:customStyle="1" w:styleId="7F001C0F6848468E82C3A8AE19E475B3">
    <w:name w:val="7F001C0F6848468E82C3A8AE19E475B3"/>
  </w:style>
  <w:style w:type="paragraph" w:customStyle="1" w:styleId="688C01624D004F7E8D80D51994CDF79C">
    <w:name w:val="688C01624D004F7E8D80D51994CDF79C"/>
  </w:style>
  <w:style w:type="paragraph" w:customStyle="1" w:styleId="8864B17769F145D3B4DB2428C2182D61">
    <w:name w:val="8864B17769F145D3B4DB2428C2182D61"/>
  </w:style>
  <w:style w:type="paragraph" w:customStyle="1" w:styleId="3A5D0988DDB740469E01B7E60E56106F">
    <w:name w:val="3A5D0988DDB740469E01B7E60E56106F"/>
  </w:style>
  <w:style w:type="paragraph" w:customStyle="1" w:styleId="7821D8CCB6FB42A4B74D754A3807CF4F">
    <w:name w:val="7821D8CCB6FB42A4B74D754A3807CF4F"/>
  </w:style>
  <w:style w:type="paragraph" w:customStyle="1" w:styleId="B817C867E57C49A397A3B2A76D1465E1">
    <w:name w:val="B817C867E57C49A397A3B2A76D1465E1"/>
  </w:style>
  <w:style w:type="paragraph" w:customStyle="1" w:styleId="CF4396ED0C3C499E999CD6C5769AF1DC">
    <w:name w:val="CF4396ED0C3C499E999CD6C5769AF1DC"/>
  </w:style>
  <w:style w:type="paragraph" w:customStyle="1" w:styleId="F0117EF1759A4756ABA145AB1323CACF">
    <w:name w:val="F0117EF1759A4756ABA145AB1323CACF"/>
  </w:style>
  <w:style w:type="paragraph" w:customStyle="1" w:styleId="E919BBEC32184DC6BD5F8B2DF15EC1F6">
    <w:name w:val="E919BBEC32184DC6BD5F8B2DF15EC1F6"/>
  </w:style>
  <w:style w:type="paragraph" w:customStyle="1" w:styleId="1C8804C2520F4DF9B5A690F948B30EBD">
    <w:name w:val="1C8804C2520F4DF9B5A690F948B30EBD"/>
  </w:style>
  <w:style w:type="paragraph" w:customStyle="1" w:styleId="C2549E9B4E684521B866F85D46ABA7CE">
    <w:name w:val="C2549E9B4E684521B866F85D46ABA7CE"/>
  </w:style>
  <w:style w:type="paragraph" w:customStyle="1" w:styleId="25BA00BFFECB41EDA2D196FD42FC35E8">
    <w:name w:val="25BA00BFFECB41EDA2D196FD42FC35E8"/>
  </w:style>
  <w:style w:type="paragraph" w:customStyle="1" w:styleId="7BE4890D9E3A4841B3250DD7AB5CF3E8">
    <w:name w:val="7BE4890D9E3A4841B3250DD7AB5CF3E8"/>
  </w:style>
  <w:style w:type="paragraph" w:customStyle="1" w:styleId="1D2CAB315F894111B531248D75BCDEBD">
    <w:name w:val="1D2CAB315F894111B531248D75BCDEBD"/>
  </w:style>
  <w:style w:type="paragraph" w:customStyle="1" w:styleId="9508E8A732DC4801A211ECAAF00882BB">
    <w:name w:val="9508E8A732DC4801A211ECAAF00882BB"/>
  </w:style>
  <w:style w:type="paragraph" w:customStyle="1" w:styleId="29B4864542714793878CED34936BDDF8">
    <w:name w:val="29B4864542714793878CED34936BDDF8"/>
  </w:style>
  <w:style w:type="paragraph" w:customStyle="1" w:styleId="EB9FDE25E163414BB1417C8B73741374">
    <w:name w:val="EB9FDE25E163414BB1417C8B73741374"/>
  </w:style>
  <w:style w:type="paragraph" w:customStyle="1" w:styleId="A3D1AC9075AD4E12BD6D4D2F6CAC2095">
    <w:name w:val="A3D1AC9075AD4E12BD6D4D2F6CAC2095"/>
  </w:style>
  <w:style w:type="paragraph" w:customStyle="1" w:styleId="514121A82AF44B4A9F983F09F72F0D54">
    <w:name w:val="514121A82AF44B4A9F983F09F72F0D54"/>
  </w:style>
  <w:style w:type="paragraph" w:customStyle="1" w:styleId="AC66A5B970994DA0BEE7B2BFB48F791B">
    <w:name w:val="AC66A5B970994DA0BEE7B2BFB48F791B"/>
  </w:style>
  <w:style w:type="paragraph" w:customStyle="1" w:styleId="C47CF7AC266D49D1B4B05120D65B44FF">
    <w:name w:val="C47CF7AC266D49D1B4B05120D65B44FF"/>
  </w:style>
  <w:style w:type="paragraph" w:customStyle="1" w:styleId="DF29C13C15884B43B9EB884F663FEAF3">
    <w:name w:val="DF29C13C15884B43B9EB884F663FEAF3"/>
  </w:style>
  <w:style w:type="paragraph" w:customStyle="1" w:styleId="AD259218353841FD8ACF190860EDCF75">
    <w:name w:val="AD259218353841FD8ACF190860EDCF75"/>
  </w:style>
  <w:style w:type="paragraph" w:customStyle="1" w:styleId="5A28AD95851948D2871B7B7D4CB302D8">
    <w:name w:val="5A28AD95851948D2871B7B7D4CB302D8"/>
  </w:style>
  <w:style w:type="paragraph" w:customStyle="1" w:styleId="9EB63620403D46FF9DF3B7421F4206B8">
    <w:name w:val="9EB63620403D46FF9DF3B7421F4206B8"/>
  </w:style>
  <w:style w:type="character" w:styleId="PlaceholderText">
    <w:name w:val="Placeholder Text"/>
    <w:basedOn w:val="DefaultParagraphFont"/>
    <w:uiPriority w:val="99"/>
    <w:semiHidden/>
    <w:rsid w:val="00A3650C"/>
    <w:rPr>
      <w:color w:val="000000" w:themeColor="text1"/>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6C6C6C"/>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employees xmlns="http://schemas.microsoft.com/temp/samples">
  <employee>
    <CustomerName>&lt;?xml version="1.0" standalone="yes"?&gt;
&lt;?mso-application progid="Word.Document"?&gt;
&lt;pkg:package xmlns:pkg="http://schemas.microsoft.com/office/2006/xmlPackage"&gt;&lt;pkg:part pkg:name="/_rels/.rels" pkg:contentType="application/vnd.openxmlformats-package.relationships+xml" pkg:padding="512"&gt;&lt;pkg:xmlData&gt;&lt;Relationships xmlns="http://schemas.openxmlformats.org/package/2006/relationships"&gt;&lt;Relationship Id="rId1" Type="http://schemas.openxmlformats.org/officeDocument/2006/relationships/officeDocument" Target="word/document.xml"/&gt;&lt;/Relationships&gt;&lt;/pkg:xmlData&gt;&lt;/pkg:part&gt;&lt;pkg:part pkg:name="/word/_rels/document.xml.rels" pkg:contentType="application/vnd.openxmlformats-package.relationships+xml" pkg:padding="256"&gt;&lt;pkg:xmlData&gt;&lt;Relationships xmlns="http://schemas.openxmlformats.org/package/2006/relationships"&gt;&lt;Relationship Id="rId2" Type="http://schemas.openxmlformats.org/officeDocument/2006/relationships/styles" Target="styles.xml"/&gt;&lt;Relationship Id="rId1" Type="http://schemas.openxmlformats.org/officeDocument/2006/relationships/numbering" Target="numbering.xml"/&gt;&lt;/Relationships&gt;&lt;/pkg:xmlData&gt;&lt;/pkg:part&gt;&lt;pkg:part pkg:name="/word/document.xml" pkg:contentType="application/vnd.openxmlformats-officedocument.wordprocessingml.document.main+xml"&gt;&lt;pkg:xmlData&gt;&lt;w:document mc:Ignorable="w14 w15 wp14"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xmlns:wps="http://schemas.microsoft.com/office/word/2010/wordprocessingShape"&gt;&lt;w:body&gt;&lt;w:p w:rsidR="00000000" w:rsidRDefault="005E5D13"&gt;&lt;w:r&gt;&lt;w:t&gt;ODE MODELS OF EPIDEMICS&lt;/w:t&gt;&lt;/w:r&gt;&lt;/w:p&gt;&lt;w:sectPr w:rsidR="00000000"&gt;&lt;w:pgSz w:w="12240" w:h="15840"/&gt;&lt;w:pgMar w:top="1440" w:right="1440" w:bottom="1440" w:left="1440" w:header="720" w:footer="720" w:gutter="0"/&gt;&lt;w:cols w:space="720"/&gt;&lt;/w:sectPr&gt;&lt;/w:body&gt;&lt;/w:document&gt;&lt;/pkg:xmlData&gt;&lt;/pkg:part&gt;&lt;pkg:part pkg:name="/word/styles.xml" pkg:contentType="application/vnd.openxmlformats-officedocument.wordprocessingml.styles+xml"&gt;&lt;pkg:xmlData&gt;&lt;w:styles mc:Ignorable="w14 w15"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xmlns:w15="http://schemas.microsoft.com/office/word/2012/wordml"&gt;&lt;w:docDefaults&gt;&lt;w:rPrDefault&gt;&lt;w:rPr&gt;&lt;w:rFonts w:asciiTheme="minorHAnsi" w:eastAsiaTheme="minorEastAsia" w:hAnsiTheme="minorHAnsi" w:cstheme="minorBidi"/&gt;&lt;w:color w:val="000000" w:themeColor="text1"/&gt;&lt;w:sz w:val="24"/&gt;&lt;w:szCs w:val="24"/&gt;&lt;w:lang w:val="en-US" w:eastAsia="ja-JP" w:bidi="ar-SA"/&gt;&lt;/w:rPr&gt;&lt;/w:rPrDefault&gt;&lt;w:pPrDefault&gt;&lt;w:pPr&gt;&lt;w:spacing w:line="480" w:lineRule="auto"/&gt;&lt;w:ind w:firstLine="720"/&gt;&lt;/w:pPr&gt;&lt;/w:pPrDefault&gt;&lt;/w:docDefaults&gt;&lt;w:style w:type="paragraph" w:default="1" w:styleId="Normal"&gt;&lt;w:name w:val="Normal"/&gt;&lt;w:qFormat/&gt;&lt;w:rsid w:val="00C925C8"/&gt;&lt;/w:style&gt;&lt;w:style w:type="paragraph" w:styleId="Heading1"&gt;&lt;w:name w:val="heading 1"/&gt;&lt;w:basedOn w:val="Normal"/&gt;&lt;w:next w:val="Normal"/&gt;&lt;w:link w:val="Heading1Char"/&gt;&lt;w:uiPriority w:val="5"/&gt;&lt;w:qFormat/&gt;&lt;w:pPr&gt;&lt;w:keepNext/&gt;&lt;w:keepLines/&gt;&lt;w:ind w:firstLine="0"/&gt;&lt;w:jc w:val="center"/&gt;&lt;w:outlineLvl w:val="0"/&gt;&lt;/w:pPr&gt;&lt;w:rPr&gt;&lt;w:rFonts w:asciiTheme="majorHAnsi" w:eastAsiaTheme="majorEastAsia" w:hAnsiTheme="majorHAnsi" w:cstheme="majorBidi"/&gt;&lt;w:b/&gt;&lt;w:bCs/&gt;&lt;/w:rPr&gt;&lt;/w:style&gt;&lt;w:style w:type="paragraph" w:styleId="Heading2"&gt;&lt;w:name w:val="heading 2"/&gt;&lt;w:basedOn w:val="Normal"/&gt;&lt;w:next w:val="Normal"/&gt;&lt;w:link w:val="Heading2Char"/&gt;&lt;w:uiPriority w:val="5"/&gt;&lt;w:qFormat/&gt;&lt;w:pPr&gt;&lt;w:keepNext/&gt;&lt;w:keepLines/&gt;&lt;w:ind w:firstLine="0"/&gt;&lt;w:outlineLvl w:val="1"/&gt;&lt;/w:pPr&gt;&lt;w:rPr&gt;&lt;w:rFonts w:asciiTheme="majorHAnsi" w:eastAsiaTheme="majorEastAsia" w:hAnsiTheme="majorHAnsi" w:cstheme="majorBidi"/&gt;&lt;w:b/&gt;&lt;w:bCs/&gt;&lt;/w:rPr&gt;&lt;/w:style&gt;&lt;w:style w:type="paragraph" w:styleId="Heading3"&gt;&lt;w:name w:val="heading 3"/&gt;&lt;w:basedOn w:val="Normal"/&gt;&lt;w:next w:val="Normal"/&gt;&lt;w:link w:val="Heading3Char"/&gt;&lt;w:uiPriority w:val="5"/&gt;&lt;w:qFormat/&gt;&lt;w:pPr&gt;&lt;w:keepNext/&gt;&lt;w:keepLines/&gt;&lt;w:outlineLvl w:val="2"/&gt;&lt;/w:pPr&gt;&lt;w:rPr&gt;&lt;w:rFonts w:asciiTheme="majorHAnsi" w:eastAsiaTheme="majorEastAsia" w:hAnsiTheme="majorHAnsi" w:cstheme="majorBidi"/&gt;&lt;w:b/&gt;&lt;w:bCs/&gt;&lt;/w:rPr&gt;&lt;/w:style&gt;&lt;w:style w:type="paragraph" w:styleId="Heading4"&gt;&lt;w:name w:val="heading 4"/&gt;&lt;w:basedOn w:val="Normal"/&gt;&lt;w:next w:val="Normal"/&gt;&lt;w:link w:val="Heading4Char"/&gt;&lt;w:uiPriority w:val="5"/&gt;&lt;w:qFormat/&gt;&lt;w:pPr&gt;&lt;w:keepNext/&gt;&lt;w:keepLines/&gt;&lt;w:outlineLvl w:val="3"/&gt;&lt;/w:pPr&gt;&lt;w:rPr&gt;&lt;w:rFonts w:asciiTheme="majorHAnsi" w:eastAsiaTheme="majorEastAsia" w:hAnsiTheme="majorHAnsi" w:cstheme="majorBidi"/&gt;&lt;w:b/&gt;&lt;w:bCs/&gt;&lt;w:i/&gt;&lt;w:iCs/&gt;&lt;/w:rPr&gt;&lt;/w:style&gt;&lt;w:style w:type="paragraph" w:styleId="Heading5"&gt;&lt;w:name w:val="heading 5"/&gt;&lt;w:basedOn w:val="Normal"/&gt;&lt;w:next w:val="Normal"/&gt;&lt;w:link w:val="Heading5Char"/&gt;&lt;w:uiPriority w:val="5"/&gt;&lt;w:qFormat/&gt;&lt;w:pPr&gt;&lt;w:keepNext/&gt;&lt;w:keepLines/&gt;&lt;w:outlineLvl w:val="4"/&gt;&lt;/w:pPr&gt;&lt;w:rPr&gt;&lt;w:rFonts w:asciiTheme="majorHAnsi" w:eastAsiaTheme="majorEastAsia" w:hAnsiTheme="majorHAnsi" w:cstheme="majorBidi"/&gt;&lt;w:i/&gt;&lt;w:iCs/&gt;&lt;/w:rPr&gt;&lt;/w:style&gt;&lt;w:style w:type="paragraph" w:styleId="Heading6"&gt;&lt;w:name w:val="heading 6"/&gt;&lt;w:basedOn w:val="Normal"/&gt;&lt;w:next w:val="Normal"/&gt;&lt;w:link w:val="Heading6Char"/&gt;&lt;w:uiPriority w:val="5"/&gt;&lt;w:semiHidden/&gt;&lt;w:qFormat/&gt;&lt;w:pPr&gt;&lt;w:keepNext/&gt;&lt;w:keepLines/&gt;&lt;w:spacing w:before="40"/&gt;&lt;w:ind w:firstLine="0"/&gt;&lt;w:outlineLvl w:val="5"/&gt;&lt;/w:pPr&gt;&lt;w:rPr&gt;&lt;w:rFonts w:asciiTheme="majorHAnsi" w:eastAsiaTheme="majorEastAsia" w:hAnsiTheme="majorHAnsi" w:cstheme="majorBidi"/&gt;&lt;w:color w:val="6E6E6E" w:themeColor="accent1" w:themeShade="7F"/&gt;&lt;/w:rPr&gt;&lt;/w:style&gt;&lt;w:style w:type="character" w:default="1" w:styleId="DefaultParagraphFont"&gt;&lt;w:name w:val="Default Paragraph Font"/&gt;&lt;w:uiPriority w:val="1"/&gt;&lt;w:semiHidden/&gt;&lt;w:unhideWhenUsed/&gt;&lt;/w:style&gt;&lt;w:style w:type="table" w:default="1" w:styleId="TableNormal"&gt;&lt;w:name w:val="Normal Table"/&gt;&lt;w:uiPriority w:val="99"/&gt;&lt;w:semiHidden/&gt;&lt;w:unhideWhenUsed/&gt;&lt;w:tblPr&gt;&lt;w:tblInd w:w="0" w:type="dxa"/&gt;&lt;w:tblCellMar&gt;&lt;w:top w:w="0" w:type="dxa"/&gt;&lt;w:left w:w="108" w:type="dxa"/&gt;&lt;w:bottom w:w="0" w:type="dxa"/&gt;&lt;w:right w:w="108" w:type="dxa"/&gt;&lt;/w:tblCellMar&gt;&lt;/w:tblPr&gt;&lt;/w:style&gt;&lt;w:style w:type="numbering" w:default="1" w:styleId="NoList"&gt;&lt;w:name w:val="No List"/&gt;&lt;w:uiPriority w:val="99"/&gt;&lt;w:semiHidden/&gt;&lt;w:unhideWhenUsed/&gt;&lt;/w:style&gt;&lt;w:style w:type="paragraph" w:customStyle="1" w:styleId="SectionTitle"&gt;&lt;w:name w:val="Section Title"/&gt;&lt;w:basedOn w:val="Normal"/&gt;&lt;w:next w:val="Normal"/&gt;&lt;w:uiPriority w:val="2"/&gt;&lt;w:qFormat/&gt;&lt;w:pPr&gt;&lt;w:pageBreakBefore/&gt;&lt;w:ind w:firstLine="0"/&gt;&lt;w:jc w:val="center"/&gt;&lt;w:outlineLvl w:val="0"/&gt;&lt;/w:pPr&gt;&lt;w:rPr&gt;&lt;w:rFonts w:asciiTheme="majorHAnsi" w:eastAsiaTheme="majorEastAsia" w:hAnsiTheme="majorHAnsi" w:cstheme="majorBidi"/&gt;&lt;/w:rPr&gt;&lt;/w:style&gt;&lt;w:style w:type="paragraph" w:styleId="Header"&gt;&lt;w:name w:val="header"/&gt;&lt;w:basedOn w:val="Normal"/&gt;&lt;w:link w:val="HeaderChar"/&gt;&lt;w:uiPriority w:val="99"/&gt;&lt;w:qFormat/&gt;&lt;w:pPr&gt;&lt;w:spacing w:line="240" w:lineRule="auto"/&gt;&lt;w:ind w:firstLine="0"/&gt;&lt;/w:pPr&gt;&lt;/w:style&gt;&lt;w:style w:type="character" w:customStyle="1" w:styleId="HeaderChar"&gt;&lt;w:name w:val="Header Char"/&gt;&lt;w:basedOn w:val="DefaultParagraphFont"/&gt;&lt;w:link w:val="Header"/&gt;&lt;w:uiPriority w:val="99"/&gt;&lt;w:rsid w:val="00DB2E59"/&gt;&lt;/w:style&gt;&lt;w:style w:type="character" w:styleId="PlaceholderText"&gt;&lt;w:name w:val="Placeholder Text"/&gt;&lt;w:basedOn w:val="DefaultParagraphFont"/&gt;&lt;w:uiPriority w:val="99"/&gt;&lt;w:semiHidden/&gt;&lt;w:rsid w:val="00EB69D3"/&gt;&lt;w:rPr&gt;&lt;w:color w:val="000000" w:themeColor="text1"/&gt;&lt;/w:rPr&gt;&lt;/w:style&gt;&lt;w:style w:type="paragraph" w:styleId="NoSpacing"&gt;&lt;w:name w:val="No Spacing"/&gt;&lt;w:aliases w:val="No Indent"/&gt;&lt;w:uiPriority w:val="3"/&gt;&lt;w:qFormat/&gt;&lt;w:pPr&gt;&lt;w:ind w:firstLine="0"/&gt;&lt;/w:pPr&gt;&lt;/w:style&gt;&lt;w:style w:type="character" w:customStyle="1" w:styleId="Heading1Char"&gt;&lt;w:name w:val="Heading 1 Char"/&gt;&lt;w:basedOn w:val="DefaultParagraphFont"/&gt;&lt;w:link w:val="Heading1"/&gt;&lt;w:uiPriority w:val="5"/&gt;&lt;w:rsid w:val="00DB2E59"/&gt;&lt;w:rPr&gt;&lt;w:rFonts w:asciiTheme="majorHAnsi" w:eastAsiaTheme="majorEastAsia" w:hAnsiTheme="majorHAnsi" w:cstheme="majorBidi"/&gt;&lt;w:b/&gt;&lt;w:bCs/&gt;&lt;/w:rPr&gt;&lt;/w:style&gt;&lt;w:style w:type="character" w:customStyle="1" w:styleId="Heading2Char"&gt;&lt;w:name w:val="Heading 2 Char"/&gt;&lt;w:basedOn w:val="DefaultParagraphFont"/&gt;&lt;w:link w:val="Heading2"/&gt;&lt;w:uiPriority w:val="5"/&gt;&lt;w:rsid w:val="00DB2E59"/&gt;&lt;w:rPr&gt;&lt;w:rFonts w:asciiTheme="majorHAnsi" w:eastAsiaTheme="majorEastAsia" w:hAnsiTheme="majorHAnsi" w:cstheme="majorBidi"/&gt;&lt;w:b/&gt;&lt;w:bCs/&gt;&lt;/w:rPr&gt;&lt;/w:style&gt;&lt;w:style w:type="paragraph" w:styleId="Title"&gt;&lt;w:name w:val="Title"/&gt;&lt;w:basedOn w:val="Normal"/&gt;&lt;w:next w:val="Normal"/&gt;&lt;w:link w:val="TitleChar"/&gt;&lt;w:uiPriority w:val="1"/&gt;&lt;w:qFormat/&gt;&lt;w:pPr&gt;&lt;w:spacing w:before="2400"/&gt;&lt;w:ind w:firstLine="0"/&gt;&lt;w:contextualSpacing/&gt;&lt;w:jc w:val="center"/&gt;&lt;/w:pPr&gt;&lt;w:rPr&gt;&lt;w:rFonts w:asciiTheme="majorHAnsi" w:eastAsiaTheme="majorEastAsia" w:hAnsiTheme="majorHAnsi" w:cstheme="majorBidi"/&gt;&lt;/w:rPr&gt;&lt;/w:style&gt;&lt;w:style w:type="character" w:customStyle="1" w:styleId="TitleChar"&gt;&lt;w:name w:val="Title Char"/&gt;&lt;w:basedOn w:val="DefaultParagraphFont"/&gt;&lt;w:link w:val="Title"/&gt;&lt;w:uiPriority w:val="1"/&gt;&lt;w:rPr&gt;&lt;w:rFonts w:asciiTheme="majorHAnsi" w:eastAsiaTheme="majorEastAsia" w:hAnsiTheme="majorHAnsi" w:cstheme="majorBidi"/&gt;&lt;/w:rPr&gt;&lt;/w:style&gt;&lt;w:style w:type="character" w:styleId="Emphasis"&gt;&lt;w:name w:val="Emphasis"/&gt;&lt;w:basedOn w:val="DefaultParagraphFont"/&gt;&lt;w:uiPriority w:val="4"/&gt;&lt;w:qFormat/&gt;&lt;w:rPr&gt;&lt;w:i/&gt;&lt;w:iCs/&gt;&lt;/w:rPr&gt;&lt;/w:style&gt;&lt;w:style w:type="character" w:customStyle="1" w:styleId="Heading3Char"&gt;&lt;w:name w:val="Heading 3 Char"/&gt;&lt;w:basedOn w:val="DefaultParagraphFont"/&gt;&lt;w:link w:val="Heading3"/&gt;&lt;w:uiPriority w:val="5"/&gt;&lt;w:rsid w:val="00DB2E59"/&gt;&lt;w:rPr&gt;&lt;w:rFonts w:asciiTheme="majorHAnsi" w:eastAsiaTheme="majorEastAsia" w:hAnsiTheme="majorHAnsi" w:cstheme="majorBidi"/&gt;&lt;w:b/&gt;&lt;w:bCs/&gt;&lt;/w:rPr&gt;&lt;/w:style&gt;&lt;w:style w:type="character" w:customStyle="1" w:styleId="Heading4Char"&gt;&lt;w:name w:val="Heading 4 Char"/&gt;&lt;w:basedOn w:val="DefaultParagraphFont"/&gt;&lt;w:link w:val="Heading4"/&gt;&lt;w:uiPriority w:val="5"/&gt;&lt;w:rsid w:val="00DB2E59"/&gt;&lt;w:rPr&gt;&lt;w:rFonts w:asciiTheme="majorHAnsi" w:eastAsiaTheme="majorEastAsia" w:hAnsiTheme="majorHAnsi" w:cstheme="majorBidi"/&gt;&lt;w:b/&gt;&lt;w:bCs/&gt;&lt;w:i/&gt;&lt;w:iCs/&gt;&lt;/w:rPr&gt;&lt;/w:style&gt;&lt;w:style w:type="character" w:customStyle="1" w:styleId="Heading5Char"&gt;&lt;w:name w:val="Heading 5 Char"/&gt;&lt;w:basedOn w:val="DefaultParagraphFont"/&gt;&lt;w:link w:val="Heading5"/&gt;&lt;w:uiPriority w:val="5"/&gt;&lt;w:rsid w:val="00DB2E59"/&gt;&lt;w:rPr&gt;&lt;w:rFonts w:asciiTheme="majorHAnsi" w:eastAsiaTheme="majorEastAsia" w:hAnsiTheme="majorHAnsi" w:cstheme="majorBidi"/&gt;&lt;w:i/&gt;&lt;w:iCs/&gt;&lt;/w:rPr&gt;&lt;/w:style&gt;&lt;w:style w:type="paragraph" w:styleId="BalloonText"&gt;&lt;w:name w:val="Balloon Text"/&gt;&lt;w:basedOn w:val="Normal"/&gt;&lt;w:link w:val="BalloonTextChar"/&gt;&lt;w:uiPriority w:val="99"/&gt;&lt;w:semiHidden/&gt;&lt;w:unhideWhenUsed/&gt;&lt;w:rsid w:val="00EB69D3"/&gt;&lt;w:pPr&gt;&lt;w:spacing w:line="240" w:lineRule="auto"/&gt;&lt;w:ind w:firstLine="0"/&gt;&lt;/w:pPr&gt;&lt;w:rPr&gt;&lt;w:rFonts w:ascii="Segoe UI" w:hAnsi="Segoe UI" w:cs="Segoe UI"/&gt;&lt;w:sz w:val="22"/&gt;&lt;w:szCs w:val="18"/&gt;&lt;/w:rPr&gt;&lt;/w:style&gt;&lt;w:style w:type="character" w:customStyle="1" w:styleId="BalloonTextChar"&gt;&lt;w:name w:val="Balloon Text Char"/&gt;&lt;w:basedOn w:val="DefaultParagraphFont"/&gt;&lt;w:link w:val="BalloonText"/&gt;&lt;w:uiPriority w:val="99"/&gt;&lt;w:semiHidden/&gt;&lt;w:rsid w:val="00EB69D3"/&gt;&lt;w:rPr&gt;&lt;w:rFonts w:ascii="Segoe UI" w:hAnsi="Segoe UI" w:cs="Segoe UI"/&gt;&lt;w:sz w:val="22"/&gt;&lt;w:szCs w:val="18"/&gt;&lt;/w:rPr&gt;&lt;/w:style&gt;&lt;w:style w:type="paragraph" w:styleId="Bibliography"&gt;&lt;w:name w:val="Bibliography"/&gt;&lt;w:basedOn w:val="Normal"/&gt;&lt;w:next w:val="Normal"/&gt;&lt;w:uiPriority w:val="6"/&gt;&lt;w:unhideWhenUsed/&gt;&lt;w:qFormat/&gt;&lt;w:pPr&gt;&lt;w:ind w:left="720" w:hanging="720"/&gt;&lt;/w:pPr&gt;&lt;/w:style&gt;&lt;w:style w:type="paragraph" w:styleId="BlockText"&gt;&lt;w:name w:val="Block Text"/&gt;&lt;w:basedOn w:val="Normal"/&gt;&lt;w:uiPriority w:val="99"/&gt;&lt;w:semiHidden/&gt;&lt;w:unhideWhenUsed/&gt;&lt;w:rsid w:val="003F7CBD"/&gt;&lt;w:pPr&gt;&lt;w:pBdr&gt;&lt;w:top w:val="single" w:sz="2" w:space="10" w:color="000000" w:themeColor="text2" w:shadow="1"/&gt;&lt;w:left w:val="single" w:sz="2" w:space="10" w:color="000000" w:themeColor="text2" w:shadow="1"/&gt;&lt;w:bottom w:val="single" w:sz="2" w:space="10" w:color="000000" w:themeColor="text2" w:shadow="1"/&gt;&lt;w:right w:val="single" w:sz="2" w:space="10" w:color="000000" w:themeColor="text2" w:shadow="1"/&gt;&lt;/w:pBdr&gt;&lt;w:ind w:left="1152" w:right="1152" w:firstLine="0"/&gt;&lt;/w:pPr&gt;&lt;w:rPr&gt;&lt;w:i/&gt;&lt;w:iCs/&gt;&lt;w:color w:val="000000" w:themeColor="text2"/&gt;&lt;/w:rPr&gt;&lt;/w:style&gt;&lt;w:style w:type="paragraph" w:styleId="BodyText"&gt;&lt;w:name w:val="Body Text"/&gt;&lt;w:basedOn w:val="Normal"/&gt;&lt;w:link w:val="BodyTextChar"/&gt;&lt;w:uiPriority w:val="99"/&gt;&lt;w:semiHidden/&gt;&lt;w:unhideWhenUsed/&gt;&lt;w:pPr&gt;&lt;w:spacing w:after="120"/&gt;&lt;w:ind w:firstLine="0"/&gt;&lt;/w:pPr&gt;&lt;/w:style&gt;&lt;w:style w:type="character" w:customStyle="1" w:styleId="BodyTextChar"&gt;&lt;w:name w:val="Body Text Char"/&gt;&lt;w:basedOn w:val="DefaultParagraphFont"/&gt;&lt;w:link w:val="BodyText"/&gt;&lt;w:uiPriority w:val="99"/&gt;&lt;w:semiHidden/&gt;&lt;w:rPr&gt;&lt;w:kern w:val="24"/&gt;&lt;/w:rPr&gt;&lt;/w:style&gt;&lt;w:style w:type="paragraph" w:styleId="BodyText2"&gt;&lt;w:name w:val="Body Text 2"/&gt;&lt;w:basedOn w:val="Normal"/&gt;&lt;w:link w:val="BodyText2Char"/&gt;&lt;w:uiPriority w:val="99"/&gt;&lt;w:semiHidden/&gt;&lt;w:unhideWhenUsed/&gt;&lt;w:pPr&gt;&lt;w:spacing w:after="120"/&gt;&lt;w:ind w:firstLine="0"/&gt;&lt;/w:pPr&gt;&lt;/w:style&gt;&lt;w:style w:type="character" w:customStyle="1" w:styleId="BodyText2Char"&gt;&lt;w:name w:val="Body Text 2 Char"/&gt;&lt;w:basedOn w:val="DefaultParagraphFont"/&gt;&lt;w:link w:val="BodyText2"/&gt;&lt;w:uiPriority w:val="99"/&gt;&lt;w:semiHidden/&gt;&lt;w:rPr&gt;&lt;w:kern w:val="24"/&gt;&lt;/w:rPr&gt;&lt;/w:style&gt;&lt;w:style w:type="paragraph" w:styleId="BodyText3"&gt;&lt;w:name w:val="Body Text 3"/&gt;&lt;w:basedOn w:val="Normal"/&gt;&lt;w:link w:val="BodyText3Char"/&gt;&lt;w:uiPriority w:val="99"/&gt;&lt;w:semiHidden/&gt;&lt;w:unhideWhenUsed/&gt;&lt;w:rsid w:val="00EB69D3"/&gt;&lt;w:pPr&gt;&lt;w:spacing w:after="120"/&gt;&lt;w:ind w:firstLine="0"/&gt;&lt;/w:pPr&gt;&lt;w:rPr&gt;&lt;w:sz w:val="22"/&gt;&lt;w:szCs w:val="16"/&gt;&lt;/w:rPr&gt;&lt;/w:style&gt;&lt;w:style w:type="character" w:customStyle="1" w:styleId="BodyText3Char"&gt;&lt;w:name w:val="Body Text 3 Char"/&gt;&lt;w:basedOn w:val="DefaultParagraphFont"/&gt;&lt;w:link w:val="BodyText3"/&gt;&lt;w:uiPriority w:val="99"/&gt;&lt;w:semiHidden/&gt;&lt;w:rsid w:val="00EB69D3"/&gt;&lt;w:rPr&gt;&lt;w:sz w:val="22"/&gt;&lt;w:szCs w:val="16"/&gt;&lt;/w:rPr&gt;&lt;/w:style&gt;&lt;w:style w:type="paragraph" w:styleId="BodyTextFirstIndent"&gt;&lt;w:name w:val="Body Text First Indent"/&gt;&lt;w:basedOn w:val="BodyText"/&gt;&lt;w:link w:val="BodyTextFirstIndentChar"/&gt;&lt;w:uiPriority w:val="99"/&gt;&lt;w:semiHidden/&gt;&lt;w:unhideWhenUsed/&gt;&lt;w:pPr&gt;&lt;w:spacing w:after="0"/&gt;&lt;/w:pPr&gt;&lt;/w:style&gt;&lt;w:style w:type="character" w:customStyle="1" w:styleId="BodyTextFirstIndentChar"&gt;&lt;w:name w:val="Body Text First Indent Char"/&gt;&lt;w:basedOn w:val="BodyTextChar"/&gt;&lt;w:link w:val="BodyTextFirstIndent"/&gt;&lt;w:uiPriority w:val="99"/&gt;&lt;w:semiHidden/&gt;&lt;w:rPr&gt;&lt;w:kern w:val="24"/&gt;&lt;/w:rPr&gt;&lt;/w:style&gt;&lt;w:style w:type="paragraph" w:styleId="BodyTextIndent"&gt;&lt;w:name w:val="Body Text Indent"/&gt;&lt;w:basedOn w:val="Normal"/&gt;&lt;w:link w:val="BodyTextIndentChar"/&gt;&lt;w:uiPriority w:val="99"/&gt;&lt;w:semiHidden/&gt;&lt;w:unhideWhenUsed/&gt;&lt;w:pPr&gt;&lt;w:spacing w:after="120"/&gt;&lt;w:ind w:left="360" w:firstLine="0"/&gt;&lt;/w:pPr&gt;&lt;/w:style&gt;&lt;w:style w:type="character" w:customStyle="1" w:styleId="BodyTextIndentChar"&gt;&lt;w:name w:val="Body Text Indent Char"/&gt;&lt;w:basedOn w:val="DefaultParagraphFont"/&gt;&lt;w:link w:val="BodyTextIndent"/&gt;&lt;w:uiPriority w:val="99"/&gt;&lt;w:semiHidden/&gt;&lt;w:rPr&gt;&lt;w:kern w:val="24"/&gt;&lt;/w:rPr&gt;&lt;/w:style&gt;&lt;w:style w:type="paragraph" w:styleId="BodyTextFirstIndent2"&gt;&lt;w:name w:val="Body Text First Indent 2"/&gt;&lt;w:basedOn w:val="BodyTextIndent"/&gt;&lt;w:link w:val="BodyTextFirstIndent2Char"/&gt;&lt;w:uiPriority w:val="99"/&gt;&lt;w:semiHidden/&gt;&lt;w:unhideWhenUsed/&gt;&lt;w:pPr&gt;&lt;w:spacing w:after="0"/&gt;&lt;/w:pPr&gt;&lt;/w:style&gt;&lt;w:style w:type="character" w:customStyle="1" w:styleId="BodyTextFirstIndent2Char"&gt;&lt;w:name w:val="Body Text First Indent 2 Char"/&gt;&lt;w:basedOn w:val="BodyTextIndentChar"/&gt;&lt;w:link w:val="BodyTextFirstIndent2"/&gt;&lt;w:uiPriority w:val="99"/&gt;&lt;w:semiHidden/&gt;&lt;w:rPr&gt;&lt;w:kern w:val="24"/&gt;&lt;/w:rPr&gt;&lt;/w:style&gt;&lt;w:style w:type="paragraph" w:styleId="BodyTextIndent2"&gt;&lt;w:name w:val="Body Text Indent 2"/&gt;&lt;w:basedOn w:val="Normal"/&gt;&lt;w:link w:val="BodyTextIndent2Char"/&gt;&lt;w:uiPriority w:val="99"/&gt;&lt;w:semiHidden/&gt;&lt;w:unhideWhenUsed/&gt;&lt;w:pPr&gt;&lt;w:spacing w:after="120"/&gt;&lt;w:ind w:left="360" w:firstLine="0"/&gt;&lt;/w:pPr&gt;&lt;/w:style&gt;&lt;w:style w:type="character" w:customStyle="1" w:styleId="BodyTextIndent2Char"&gt;&lt;w:name w:val="Body Text Indent 2 Char"/&gt;&lt;w:basedOn w:val="DefaultParagraphFont"/&gt;&lt;w:link w:val="BodyTextIndent2"/&gt;&lt;w:uiPriority w:val="99"/&gt;&lt;w:semiHidden/&gt;&lt;w:rPr&gt;&lt;w:kern w:val="24"/&gt;&lt;/w:rPr&gt;&lt;/w:style&gt;&lt;w:style w:type="paragraph" w:styleId="BodyTextIndent3"&gt;&lt;w:name w:val="Body Text Indent 3"/&gt;&lt;w:basedOn w:val="Normal"/&gt;&lt;w:link w:val="BodyTextIndent3Char"/&gt;&lt;w:uiPriority w:val="99"/&gt;&lt;w:semiHidden/&gt;&lt;w:unhideWhenUsed/&gt;&lt;w:rsid w:val="00EB69D3"/&gt;&lt;w:pPr&gt;&lt;w:spacing w:after="120"/&gt;&lt;w:ind w:left="360" w:firstLine="0"/&gt;&lt;/w:pPr&gt;&lt;w:rPr&gt;&lt;w:sz w:val="22"/&gt;&lt;w:szCs w:val="16"/&gt;&lt;/w:rPr&gt;&lt;/w:style&gt;&lt;w:style w:type="character" w:customStyle="1" w:styleId="BodyTextIndent3Char"&gt;&lt;w:name w:val="Body Text Indent 3 Char"/&gt;&lt;w:basedOn w:val="DefaultParagraphFont"/&gt;&lt;w:link w:val="BodyTextIndent3"/&gt;&lt;w:uiPriority w:val="99"/&gt;&lt;w:semiHidden/&gt;&lt;w:rsid w:val="00EB69D3"/&gt;&lt;w:rPr&gt;&lt;w:sz w:val="22"/&gt;&lt;w:szCs w:val="16"/&gt;&lt;/w:rPr&gt;&lt;/w:style&gt;&lt;w:style w:type="paragraph" w:styleId="Caption"&gt;&lt;w:name w:val="caption"/&gt;&lt;w:basedOn w:val="Normal"/&gt;&lt;w:next w:val="Normal"/&gt;&lt;w:uiPriority w:val="35"/&gt;&lt;w:semiHidden/&gt;&lt;w:unhideWhenUsed/&gt;&lt;w:qFormat/&gt;&lt;w:rsid w:val="00EB69D3"/&gt;&lt;w:pPr&gt;&lt;w:spacing w:after="200" w:line="240" w:lineRule="auto"/&gt;&lt;w:ind w:firstLine="0"/&gt;&lt;/w:pPr&gt;&lt;w:rPr&gt;&lt;w:i/&gt;&lt;w:iCs/&gt;&lt;w:color w:val="000000" w:themeColor="text2"/&gt;&lt;w:sz w:val="22"/&gt;&lt;w:szCs w:val="18"/&gt;&lt;/w:rPr&gt;&lt;/w:style&gt;&lt;w:style w:type="paragraph" w:styleId="Closing"&gt;&lt;w:name w:val="Closing"/&gt;&lt;w:basedOn w:val="Normal"/&gt;&lt;w:link w:val="ClosingChar"/&gt;&lt;w:uiPriority w:val="99"/&gt;&lt;w:semiHidden/&gt;&lt;w:unhideWhenUsed/&gt;&lt;w:pPr&gt;&lt;w:spacing w:line="240" w:lineRule="auto"/&gt;&lt;w:ind w:left="4320" w:firstLine="0"/&gt;&lt;/w:pPr&gt;&lt;/w:style&gt;&lt;w:style w:type="character" w:customStyle="1" w:styleId="ClosingChar"&gt;&lt;w:name w:val="Closing Char"/&gt;&lt;w:basedOn w:val="DefaultParagraphFont"/&gt;&lt;w:link w:val="Closing"/&gt;&lt;w:uiPriority w:val="99"/&gt;&lt;w:semiHidden/&gt;&lt;w:rPr&gt;&lt;w:kern w:val="24"/&gt;&lt;/w:rPr&gt;&lt;/w:style&gt;&lt;w:style w:type="paragraph" w:styleId="CommentText"&gt;&lt;w:name w:val="annotation text"/&gt;&lt;w:basedOn w:val="Normal"/&gt;&lt;w:link w:val="CommentTextChar"/&gt;&lt;w:uiPriority w:val="99"/&gt;&lt;w:semiHidden/&gt;&lt;w:unhideWhenUsed/&gt;&lt;w:rsid w:val="00EB69D3"/&gt;&lt;w:pPr&gt;&lt;w:spacing w:line="240" w:lineRule="auto"/&gt;&lt;w:ind w:firstLine="0"/&gt;&lt;/w:pPr&gt;&lt;w:rPr&gt;&lt;w:sz w:val="22"/&gt;&lt;w:szCs w:val="20"/&gt;&lt;/w:rPr&gt;&lt;/w:style&gt;&lt;w:style w:type="character" w:customStyle="1" w:styleId="CommentTextChar"&gt;&lt;w:name w:val="Comment Text Char"/&gt;&lt;w:basedOn w:val="DefaultParagraphFont"/&gt;&lt;w:link w:val="CommentText"/&gt;&lt;w:uiPriority w:val="99"/&gt;&lt;w:semiHidden/&gt;&lt;w:rsid w:val="00EB69D3"/&gt;&lt;w:rPr&gt;&lt;w:sz w:val="22"/&gt;&lt;w:szCs w:val="20"/&gt;&lt;/w:rPr&gt;&lt;/w:style&gt;&lt;w:style w:type="paragraph" w:styleId="CommentSubject"&gt;&lt;w:name w:val="annotation subject"/&gt;&lt;w:basedOn w:val="CommentText"/&gt;&lt;w:next w:val="CommentText"/&gt;&lt;w:link w:val="CommentSubjectChar"/&gt;&lt;w:uiPriority w:val="99"/&gt;&lt;w:semiHidden/&gt;&lt;w:unhideWhenUsed/&gt;&lt;w:rsid w:val="00EB69D3"/&gt;&lt;w:rPr&gt;&lt;w:b/&gt;&lt;w:bCs/&gt;&lt;/w:rPr&gt;&lt;/w:style&gt;&lt;w:style w:type="character" w:customStyle="1" w:styleId="CommentSubjectChar"&gt;&lt;w:name w:val="Comment Subject Char"/&gt;&lt;w:basedOn w:val="CommentTextChar"/&gt;&lt;w:link w:val="CommentSubject"/&gt;&lt;w:uiPriority w:val="99"/&gt;&lt;w:semiHidden/&gt;&lt;w:rsid w:val="00EB69D3"/&gt;&lt;w:rPr&gt;&lt;w:b/&gt;&lt;w:bCs/&gt;&lt;w:sz w:val="22"/&gt;&lt;w:szCs w:val="20"/&gt;&lt;/w:rPr&gt;&lt;/w:style&gt;&lt;w:style w:type="paragraph" w:styleId="Date"&gt;&lt;w:name w:val="Date"/&gt;&lt;w:basedOn w:val="Normal"/&gt;&lt;w:next w:val="Normal"/&gt;&lt;w:link w:val="DateChar"/&gt;&lt;w:uiPriority w:val="99"/&gt;&lt;w:semiHidden/&gt;&lt;w:unhideWhenUsed/&gt;&lt;w:pPr&gt;&lt;w:ind w:firstLine="0"/&gt;&lt;/w:pPr&gt;&lt;/w:style&gt;&lt;w:style w:type="character" w:customStyle="1" w:styleId="DateChar"&gt;&lt;w:name w:val="Date Char"/&gt;&lt;w:basedOn w:val="DefaultParagraphFont"/&gt;&lt;w:link w:val="Date"/&gt;&lt;w:uiPriority w:val="99"/&gt;&lt;w:semiHidden/&gt;&lt;w:rPr&gt;&lt;w:kern w:val="24"/&gt;&lt;/w:rPr&gt;&lt;/w:style&gt;&lt;w:style w:type="paragraph" w:styleId="DocumentMap"&gt;&lt;w:name w:val="Document Map"/&gt;&lt;w:basedOn w:val="Normal"/&gt;&lt;w:link w:val="DocumentMapChar"/&gt;&lt;w:uiPriority w:val="99"/&gt;&lt;w:semiHidden/&gt;&lt;w:unhideWhenUsed/&gt;&lt;w:rsid w:val="00EB69D3"/&gt;&lt;w:pPr&gt;&lt;w:spacing w:line="240" w:lineRule="auto"/&gt;&lt;w:ind w:firstLine="0"/&gt;&lt;/w:pPr&gt;&lt;w:rPr&gt;&lt;w:rFonts w:ascii="Segoe UI" w:hAnsi="Segoe UI" w:cs="Segoe UI"/&gt;&lt;w:sz w:val="22"/&gt;&lt;w:szCs w:val="16"/&gt;&lt;/w:rPr&gt;&lt;/w:style&gt;&lt;w:style w:type="character" w:customStyle="1" w:styleId="DocumentMapChar"&gt;&lt;w:name w:val="Document Map Char"/&gt;&lt;w:basedOn w:val="DefaultParagraphFont"/&gt;&lt;w:link w:val="DocumentMap"/&gt;&lt;w:uiPriority w:val="99"/&gt;&lt;w:semiHidden/&gt;&lt;w:rsid w:val="00EB69D3"/&gt;&lt;w:rPr&gt;&lt;w:rFonts w:ascii="Segoe UI" w:hAnsi="Segoe UI" w:cs="Segoe UI"/&gt;&lt;w:sz w:val="22"/&gt;&lt;w:szCs w:val="16"/&gt;&lt;/w:rPr&gt;&lt;/w:style&gt;&lt;w:style w:type="paragraph" w:styleId="E-mailSignature"&gt;&lt;w:name w:val="E-mail Signature"/&gt;&lt;w:basedOn w:val="Normal"/&gt;&lt;w:link w:val="E-mailSignatureChar"/&gt;&lt;w:uiPriority w:val="99"/&gt;&lt;w:semiHidden/&gt;&lt;w:unhideWhenUsed/&gt;&lt;w:pPr&gt;&lt;w:spacing w:line="240" w:lineRule="auto"/&gt;&lt;w:ind w:firstLine="0"/&gt;&lt;/w:pPr&gt;&lt;/w:style&gt;&lt;w:style w:type="character" w:customStyle="1" w:styleId="E-mailSignatureChar"&gt;&lt;w:name w:val="E-mail Signature Char"/&gt;&lt;w:basedOn w:val="DefaultParagraphFont"/&gt;&lt;w:link w:val="E-mailSignature"/&gt;&lt;w:uiPriority w:val="99"/&gt;&lt;w:semiHidden/&gt;&lt;w:rPr&gt;&lt;w:kern w:val="24"/&gt;&lt;/w:rPr&gt;&lt;/w:style&gt;&lt;w:style w:type="paragraph" w:styleId="FootnoteText"&gt;&lt;w:name w:val="footnote text"/&gt;&lt;w:basedOn w:val="Normal"/&gt;&lt;w:link w:val="FootnoteTextChar"/&gt;&lt;w:uiPriority w:val="99"/&gt;&lt;w:semiHidden/&gt;&lt;w:unhideWhenUsed/&gt;&lt;w:rsid w:val="00EB69D3"/&gt;&lt;w:pPr&gt;&lt;w:spacing w:line="240" w:lineRule="auto"/&gt;&lt;/w:pPr&gt;&lt;w:rPr&gt;&lt;w:sz w:val="22"/&gt;&lt;w:szCs w:val="20"/&gt;&lt;/w:rPr&gt;&lt;/w:style&gt;&lt;w:style w:type="character" w:customStyle="1" w:styleId="FootnoteTextChar"&gt;&lt;w:name w:val="Footnote Text Char"/&gt;&lt;w:basedOn w:val="DefaultParagraphFont"/&gt;&lt;w:link w:val="FootnoteText"/&gt;&lt;w:uiPriority w:val="99"/&gt;&lt;w:semiHidden/&gt;&lt;w:rsid w:val="00EB69D3"/&gt;&lt;w:rPr&gt;&lt;w:sz w:val="22"/&gt;&lt;w:szCs w:val="20"/&gt;&lt;/w:rPr&gt;&lt;/w:style&gt;&lt;w:style w:type="paragraph" w:styleId="EnvelopeAddress"&gt;&lt;w:name w:val="envelope address"/&gt;&lt;w:basedOn w:val="Normal"/&gt;&lt;w:uiPriority w:val="99"/&gt;&lt;w:semiHidden/&gt;&lt;w:unhideWhenUsed/&gt;&lt;w:pPr&gt;&lt;w:framePr w:w="7920" w:h="1980" w:hRule="exact" w:hSpace="180" w:wrap="auto" w:hAnchor="page" w:xAlign="center" w:yAlign="bottom"/&gt;&lt;w:spacing w:line="240" w:lineRule="auto"/&gt;&lt;w:ind w:left="2880" w:firstLine="0"/&gt;&lt;/w:pPr&gt;&lt;w:rPr&gt;&lt;w:rFonts w:asciiTheme="majorHAnsi" w:eastAsiaTheme="majorEastAsia" w:hAnsiTheme="majorHAnsi" w:cstheme="majorBidi"/&gt;&lt;/w:rPr&gt;&lt;/w:style&gt;&lt;w:style w:type="paragraph" w:styleId="EnvelopeReturn"&gt;&lt;w:name w:val="envelope return"/&gt;&lt;w:basedOn w:val="Normal"/&gt;&lt;w:uiPriority w:val="99"/&gt;&lt;w:semiHidden/&gt;&lt;w:unhideWhenUsed/&gt;&lt;w:rsid w:val="00EB69D3"/&gt;&lt;w:pPr&gt;&lt;w:spacing w:line="240" w:lineRule="auto"/&gt;&lt;w:ind w:firstLine="0"/&gt;&lt;/w:pPr&gt;&lt;w:rPr&gt;&lt;w:rFonts w:asciiTheme="majorHAnsi" w:eastAsiaTheme="majorEastAsia" w:hAnsiTheme="majorHAnsi" w:cstheme="majorBidi"/&gt;&lt;w:sz w:val="22"/&gt;&lt;w:szCs w:val="20"/&gt;&lt;/w:rPr&gt;&lt;/w:style&gt;&lt;w:style w:type="table" w:styleId="TableGrid"&gt;&lt;w:name w:val="Table Grid"/&gt;&lt;w:basedOn w:val="TableNormal"/&gt;&lt;w:uiPriority w:val="39"/&gt;&lt;w:pPr&gt;&lt;w:spacing w:line="240" w:lineRule="auto"/&gt;&lt;/w:pPr&gt;&lt;w:tblPr&gt;&lt;w:tblInd w:w="0" w:type="dxa"/&gt;&lt;w:tblBorders&gt;&lt;w:top w:val="single" w:sz="4" w:space="0" w:color="auto"/&gt;&lt;w:left w:val="single" w:sz="4" w:space="0" w:color="auto"/&gt;&lt;w:bottom w:val="single" w:sz="4" w:space="0" w:color="auto"/&gt;&lt;w:right w:val="single" w:sz="4" w:space="0" w:color="auto"/&gt;&lt;w:insideH w:val="single" w:sz="4" w:space="0" w:color="auto"/&gt;&lt;w:insideV w:val="single" w:sz="4" w:space="0" w:color="auto"/&gt;&lt;/w:tblBorders&gt;&lt;w:tblCellMar&gt;&lt;w:top w:w="0" w:type="dxa"/&gt;&lt;w:left w:w="108" w:type="dxa"/&gt;&lt;w:bottom w:w="0" w:type="dxa"/&gt;&lt;w:right w:w="108" w:type="dxa"/&gt;&lt;/w:tblCellMar&gt;&lt;/w:tblPr&gt;&lt;/w:style&gt;&lt;w:style w:type="table" w:styleId="TableGridLight"&gt;&lt;w:name w:val="Grid Table Light"/&gt;&lt;w:basedOn w:val="TableNormal"/&gt;&lt;w:uiPriority w:val="40"/&gt;&lt;w:pPr&gt;&lt;w:spacing w:line="240" w:lineRule="auto"/&gt;&lt;/w:pPr&gt;&lt;w:tblPr&gt;&lt;w:tblInd w:w="0" w:type="dxa"/&gt;&lt;w:tblBorders&gt;&lt;w:top w:val="single" w:sz="4" w:space="0" w:color="BFBFBF" w:themeColor="background1" w:themeShade="BF"/&gt;&lt;w:left w:val="single" w:sz="4" w:space="0" w:color="BFBFBF" w:themeColor="background1" w:themeShade="BF"/&gt;&lt;w:bottom w:val="single" w:sz="4" w:space="0" w:color="BFBFBF" w:themeColor="background1" w:themeShade="BF"/&gt;&lt;w:right w:val="single" w:sz="4" w:space="0" w:color="BFBFBF" w:themeColor="background1" w:themeShade="BF"/&gt;&lt;w:insideH w:val="single" w:sz="4" w:space="0" w:color="BFBFBF" w:themeColor="background1" w:themeShade="BF"/&gt;&lt;w:insideV w:val="single" w:sz="4" w:space="0" w:color="BFBFBF" w:themeColor="background1" w:themeShade="BF"/&gt;&lt;/w:tblBorders&gt;&lt;w:tblCellMar&gt;&lt;w:top w:w="0" w:type="dxa"/&gt;&lt;w:left w:w="108" w:type="dxa"/&gt;&lt;w:bottom w:w="0" w:type="dxa"/&gt;&lt;w:right w:w="108" w:type="dxa"/&gt;&lt;/w:tblCellMar&gt;&lt;/w:tblPr&gt;&lt;/w:style&gt;&lt;w:style w:type="character" w:customStyle="1" w:styleId="Heading6Char"&gt;&lt;w:name w:val="Heading 6 Char"/&gt;&lt;w:basedOn w:val="DefaultParagraphFont"/&gt;&lt;w:link w:val="Heading6"/&gt;&lt;w:uiPriority w:val="5"/&gt;&lt;w:semiHidden/&gt;&lt;w:rsid w:val="00336906"/&gt;&lt;w:rPr&gt;&lt;w:rFonts w:asciiTheme="majorHAnsi" w:eastAsiaTheme="majorEastAsia" w:hAnsiTheme="majorHAnsi" w:cstheme="majorBidi"/&gt;&lt;w:color w:val="6E6E6E" w:themeColor="accent1" w:themeShade="7F"/&gt;&lt;/w:rPr&gt;&lt;/w:style&gt;&lt;w:style w:type="paragraph" w:styleId="HTMLAddress"&gt;&lt;w:name w:val="HTML Address"/&gt;&lt;w:basedOn w:val="Normal"/&gt;&lt;w:link w:val="HTMLAddressChar"/&gt;&lt;w:uiPriority w:val="99"/&gt;&lt;w:semiHidden/&gt;&lt;w:unhideWhenUsed/&gt;&lt;w:pPr&gt;&lt;w:spacing w:line="240" w:lineRule="auto"/&gt;&lt;w:ind w:firstLine="0"/&gt;&lt;/w:pPr&gt;&lt;w:rPr&gt;&lt;w:i/&gt;&lt;w:iCs/&gt;&lt;/w:rPr&gt;&lt;/w:style&gt;&lt;w:style w:type="character" w:customStyle="1" w:styleId="HTMLAddressChar"&gt;&lt;w:name w:val="HTML Address Char"/&gt;&lt;w:basedOn w:val="DefaultParagraphFont"/&gt;&lt;w:link w:val="HTMLAddress"/&gt;&lt;w:uiPriority w:val="99"/&gt;&lt;w:semiHidden/&gt;&lt;w:rPr&gt;&lt;w:i/&gt;&lt;w:iCs/&gt;&lt;w:kern w:val="24"/&gt;&lt;/w:rPr&gt;&lt;/w:style&gt;&lt;w:style w:type="paragraph" w:styleId="HTMLPreformatted"&gt;&lt;w:name w:val="HTML Preformatted"/&gt;&lt;w:basedOn w:val="Normal"/&gt;&lt;w:link w:val="HTMLPreformattedChar"/&gt;&lt;w:uiPriority w:val="99"/&gt;&lt;w:semiHidden/&gt;&lt;w:unhideWhenUsed/&gt;&lt;w:rsid w:val="00EB69D3"/&gt;&lt;w:pPr&gt;&lt;w:spacing w:line="240" w:lineRule="auto"/&gt;&lt;w:ind w:firstLine="0"/&gt;&lt;/w:pPr&gt;&lt;w:rPr&gt;&lt;w:rFonts w:ascii="Consolas" w:hAnsi="Consolas" w:cs="Consolas"/&gt;&lt;w:sz w:val="22"/&gt;&lt;w:szCs w:val="20"/&gt;&lt;/w:rPr&gt;&lt;/w:style&gt;&lt;w:style w:type="character" w:customStyle="1" w:styleId="HTMLPreformattedChar"&gt;&lt;w:name w:val="HTML Preformatted Char"/&gt;&lt;w:basedOn w:val="DefaultParagraphFont"/&gt;&lt;w:link w:val="HTMLPreformatted"/&gt;&lt;w:uiPriority w:val="99"/&gt;&lt;w:semiHidden/&gt;&lt;w:rsid w:val="00EB69D3"/&gt;&lt;w:rPr&gt;&lt;w:rFonts w:ascii="Consolas" w:hAnsi="Consolas" w:cs="Consolas"/&gt;&lt;w:sz w:val="22"/&gt;&lt;w:szCs w:val="20"/&gt;&lt;/w:rPr&gt;&lt;/w:style&gt;&lt;w:style w:type="paragraph" w:styleId="Index1"&gt;&lt;w:name w:val="index 1"/&gt;&lt;w:basedOn w:val="Normal"/&gt;&lt;w:next w:val="Normal"/&gt;&lt;w:autoRedefine/&gt;&lt;w:uiPriority w:val="99"/&gt;&lt;w:semiHidden/&gt;&lt;w:unhideWhenUsed/&gt;&lt;w:pPr&gt;&lt;w:spacing w:line="240" w:lineRule="auto"/&gt;&lt;w:ind w:left="240" w:firstLine="0"/&gt;&lt;/w:pPr&gt;&lt;/w:style&gt;&lt;w:style w:type="paragraph" w:styleId="Index2"&gt;&lt;w:name w:val="index 2"/&gt;&lt;w:basedOn w:val="Normal"/&gt;&lt;w:next w:val="Normal"/&gt;&lt;w:autoRedefine/&gt;&lt;w:uiPriority w:val="99"/&gt;&lt;w:semiHidden/&gt;&lt;w:unhideWhenUsed/&gt;&lt;w:pPr&gt;&lt;w:spacing w:line="240" w:lineRule="auto"/&gt;&lt;w:ind w:left="480" w:firstLine="0"/&gt;&lt;/w:pPr&gt;&lt;/w:style&gt;&lt;w:style w:type="paragraph" w:styleId="Index3"&gt;&lt;w:name w:val="index 3"/&gt;&lt;w:basedOn w:val="Normal"/&gt;&lt;w:next w:val="Normal"/&gt;&lt;w:autoRedefine/&gt;&lt;w:uiPriority w:val="99"/&gt;&lt;w:semiHidden/&gt;&lt;w:unhideWhenUsed/&gt;&lt;w:pPr&gt;&lt;w:spacing w:line="240" w:lineRule="auto"/&gt;&lt;w:ind w:left="720" w:firstLine="0"/&gt;&lt;/w:pPr&gt;&lt;/w:style&gt;&lt;w:style w:type="paragraph" w:styleId="Index4"&gt;&lt;w:name w:val="index 4"/&gt;&lt;w:basedOn w:val="Normal"/&gt;&lt;w:next w:val="Normal"/&gt;&lt;w:autoRedefine/&gt;&lt;w:uiPriority w:val="99"/&gt;&lt;w:semiHidden/&gt;&lt;w:unhideWhenUsed/&gt;&lt;w:pPr&gt;&lt;w:spacing w:line="240" w:lineRule="auto"/&gt;&lt;w:ind w:left="960" w:firstLine="0"/&gt;&lt;/w:pPr&gt;&lt;/w:style&gt;&lt;w:style w:type="paragraph" w:styleId="Index5"&gt;&lt;w:name w:val="index 5"/&gt;&lt;w:basedOn w:val="Normal"/&gt;&lt;w:next w:val="Normal"/&gt;&lt;w:autoRedefine/&gt;&lt;w:uiPriority w:val="99"/&gt;&lt;w:semiHidden/&gt;&lt;w:unhideWhenUsed/&gt;&lt;w:pPr&gt;&lt;w:spacing w:line="240" w:lineRule="auto"/&gt;&lt;w:ind w:left="1200" w:firstLine="0"/&gt;&lt;/w:pPr&gt;&lt;/w:style&gt;&lt;w:style w:type="paragraph" w:styleId="Index6"&gt;&lt;w:name w:val="index 6"/&gt;&lt;w:basedOn w:val="Normal"/&gt;&lt;w:next w:val="Normal"/&gt;&lt;w:autoRedefine/&gt;&lt;w:uiPriority w:val="99"/&gt;&lt;w:semiHidden/&gt;&lt;w:unhideWhenUsed/&gt;&lt;w:pPr&gt;&lt;w:spacing w:line="240" w:lineRule="auto"/&gt;&lt;w:ind w:left="1440" w:firstLine="0"/&gt;&lt;/w:pPr&gt;&lt;/w:style&gt;&lt;w:style w:type="paragraph" w:styleId="Index7"&gt;&lt;w:name w:val="index 7"/&gt;&lt;w:basedOn w:val="Normal"/&gt;&lt;w:next w:val="Normal"/&gt;&lt;w:autoRedefine/&gt;&lt;w:uiPriority w:val="99"/&gt;&lt;w:semiHidden/&gt;&lt;w:unhideWhenUsed/&gt;&lt;w:pPr&gt;&lt;w:spacing w:line="240" w:lineRule="auto"/&gt;&lt;w:ind w:left="1680" w:firstLine="0"/&gt;&lt;/w:pPr&gt;&lt;/w:style&gt;&lt;w:style w:type="paragraph" w:styleId="Index8"&gt;&lt;w:name w:val="index 8"/&gt;&lt;w:basedOn w:val="Normal"/&gt;&lt;w:next w:val="Normal"/&gt;&lt;w:autoRedefine/&gt;&lt;w:uiPriority w:val="99"/&gt;&lt;w:semiHidden/&gt;&lt;w:unhideWhenUsed/&gt;&lt;w:pPr&gt;&lt;w:spacing w:line="240" w:lineRule="auto"/&gt;&lt;w:ind w:left="1920" w:firstLine="0"/&gt;&lt;/w:pPr&gt;&lt;/w:style&gt;&lt;w:style w:type="paragraph" w:styleId="Index9"&gt;&lt;w:name w:val="index 9"/&gt;&lt;w:basedOn w:val="Normal"/&gt;&lt;w:next w:val="Normal"/&gt;&lt;w:autoRedefine/&gt;&lt;w:uiPriority w:val="99"/&gt;&lt;w:semiHidden/&gt;&lt;w:unhideWhenUsed/&gt;&lt;w:pPr&gt;&lt;w:spacing w:line="240" w:lineRule="auto"/&gt;&lt;w:ind w:left="2160" w:firstLine="0"/&gt;&lt;/w:pPr&gt;&lt;/w:style&gt;&lt;w:style w:type="paragraph" w:styleId="IndexHeading"&gt;&lt;w:name w:val="index heading"/&gt;&lt;w:basedOn w:val="Normal"/&gt;&lt;w:next w:val="Index1"/&gt;&lt;w:uiPriority w:val="99"/&gt;&lt;w:semiHidden/&gt;&lt;w:unhideWhenUsed/&gt;&lt;w:pPr&gt;&lt;w:ind w:firstLine="0"/&gt;&lt;/w:pPr&gt;&lt;w:rPr&gt;&lt;w:rFonts w:asciiTheme="majorHAnsi" w:eastAsiaTheme="majorEastAsia" w:hAnsiTheme="majorHAnsi" w:cstheme="majorBidi"/&gt;&lt;w:b/&gt;&lt;w:bCs/&gt;&lt;/w:rPr&gt;&lt;/w:style&gt;&lt;w:style w:type="paragraph" w:styleId="IntenseQuote"&gt;&lt;w:name w:val="Intense Quote"/&gt;&lt;w:basedOn w:val="Normal"/&gt;&lt;w:next w:val="Normal"/&gt;&lt;w:link w:val="IntenseQuoteChar"/&gt;&lt;w:uiPriority w:val="30"/&gt;&lt;w:semiHidden/&gt;&lt;w:unhideWhenUsed/&gt;&lt;w:qFormat/&gt;&lt;w:rsid w:val="00EB69D3"/&gt;&lt;w:pPr&gt;&lt;w:pBdr&gt;&lt;w:top w:val="single" w:sz="4" w:space="10" w:color="6E6E6E" w:themeColor="accent1" w:themeShade="80"/&gt;&lt;w:bottom w:val="single" w:sz="4" w:space="10" w:color="6E6E6E" w:themeColor="accent1" w:themeShade="80"/&gt;&lt;/w:pBdr&gt;&lt;w:spacing w:before="360" w:after="360"/&gt;&lt;w:ind w:left="864" w:right="864" w:firstLine="0"/&gt;&lt;w:jc w:val="center"/&gt;&lt;/w:pPr&gt;&lt;w:rPr&gt;&lt;w:i/&gt;&lt;w:iCs/&gt;&lt;w:color w:val="6E6E6E" w:themeColor="accent1" w:themeShade="80"/&gt;&lt;/w:rPr&gt;&lt;/w:style&gt;&lt;w:style w:type="character" w:customStyle="1" w:styleId="IntenseQuoteChar"&gt;&lt;w:name w:val="Intense Quote Char"/&gt;&lt;w:basedOn w:val="DefaultParagraphFont"/&gt;&lt;w:link w:val="IntenseQuote"/&gt;&lt;w:uiPriority w:val="30"/&gt;&lt;w:semiHidden/&gt;&lt;w:rsid w:val="00EB69D3"/&gt;&lt;w:rPr&gt;&lt;w:i/&gt;&lt;w:iCs/&gt;&lt;w:color w:val="6E6E6E" w:themeColor="accent1" w:themeShade="80"/&gt;&lt;/w:rPr&gt;&lt;/w:style&gt;&lt;w:style w:type="paragraph" w:styleId="List"&gt;&lt;w:name w:val="List"/&gt;&lt;w:basedOn w:val="Normal"/&gt;&lt;w:uiPriority w:val="99"/&gt;&lt;w:semiHidden/&gt;&lt;w:unhideWhenUsed/&gt;&lt;w:pPr&gt;&lt;w:ind w:left="360" w:firstLine="0"/&gt;&lt;w:contextualSpacing/&gt;&lt;/w:pPr&gt;&lt;/w:style&gt;&lt;w:style w:type="paragraph" w:styleId="List2"&gt;&lt;w:name w:val="List 2"/&gt;&lt;w:basedOn w:val="Normal"/&gt;&lt;w:uiPriority w:val="99"/&gt;&lt;w:semiHidden/&gt;&lt;w:unhideWhenUsed/&gt;&lt;w:pPr&gt;&lt;w:ind w:left="720" w:firstLine="0"/&gt;&lt;w:contextualSpacing/&gt;&lt;/w:pPr&gt;&lt;/w:style&gt;&lt;w:style w:type="paragraph" w:styleId="List3"&gt;&lt;w:name w:val="List 3"/&gt;&lt;w:basedOn w:val="Normal"/&gt;&lt;w:uiPriority w:val="99"/&gt;&lt;w:semiHidden/&gt;&lt;w:unhideWhenUsed/&gt;&lt;w:pPr&gt;&lt;w:ind w:left="1080" w:firstLine="0"/&gt;&lt;w:contextualSpacing/&gt;&lt;/w:pPr&gt;&lt;/w:style&gt;&lt;w:style w:type="paragraph" w:styleId="List4"&gt;&lt;w:name w:val="List 4"/&gt;&lt;w:basedOn w:val="Normal"/&gt;&lt;w:uiPriority w:val="99"/&gt;&lt;w:semiHidden/&gt;&lt;w:unhideWhenUsed/&gt;&lt;w:pPr&gt;&lt;w:ind w:left="1440" w:firstLine="0"/&gt;&lt;w:contextualSpacing/&gt;&lt;/w:pPr&gt;&lt;/w:style&gt;&lt;w:style w:type="paragraph" w:styleId="List5"&gt;&lt;w:name w:val="List 5"/&gt;&lt;w:basedOn w:val="Normal"/&gt;&lt;w:uiPriority w:val="99"/&gt;&lt;w:semiHidden/&gt;&lt;w:unhideWhenUsed/&gt;&lt;w:pPr&gt;&lt;w:ind w:left="1800" w:firstLine="0"/&gt;&lt;w:contextualSpacing/&gt;&lt;/w:pPr&gt;&lt;/w:style&gt;&lt;w:style w:type="paragraph" w:styleId="ListBullet"&gt;&lt;w:name w:val="List Bullet"/&gt;&lt;w:basedOn w:val="Normal"/&gt;&lt;w:uiPriority w:val="8"/&gt;&lt;w:unhideWhenUsed/&gt;&lt;w:qFormat/&gt;&lt;w:pPr&gt;&lt;w:numPr&gt;&lt;w:numId w:val="1"/&gt;&lt;/w:numPr&gt;&lt;w:contextualSpacing/&gt;&lt;/w:pPr&gt;&lt;/w:style&gt;&lt;w:style w:type="paragraph" w:styleId="ListBullet2"&gt;&lt;w:name w:val="List Bullet 2"/&gt;&lt;w:basedOn w:val="Normal"/&gt;&lt;w:uiPriority w:val="99"/&gt;&lt;w:semiHidden/&gt;&lt;w:unhideWhenUsed/&gt;&lt;w:pPr&gt;&lt;w:numPr&gt;&lt;w:numId w:val="2"/&gt;&lt;/w:numPr&gt;&lt;w:ind w:firstLine="0"/&gt;&lt;w:contextualSpacing/&gt;&lt;/w:pPr&gt;&lt;/w:style&gt;&lt;w:style w:type="paragraph" w:styleId="ListBullet3"&gt;&lt;w:name w:val="List Bullet 3"/&gt;&lt;w:basedOn w:val="Normal"/&gt;&lt;w:uiPriority w:val="99"/&gt;&lt;w:semiHidden/&gt;&lt;w:unhideWhenUsed/&gt;&lt;w:pPr&gt;&lt;w:numPr&gt;&lt;w:numId w:val="3"/&gt;&lt;/w:numPr&gt;&lt;w:ind w:firstLine="0"/&gt;&lt;w:contextualSpacing/&gt;&lt;/w:pPr&gt;&lt;/w:style&gt;&lt;w:style w:type="paragraph" w:styleId="ListBullet4"&gt;&lt;w:name w:val="List Bullet 4"/&gt;&lt;w:basedOn w:val="Normal"/&gt;&lt;w:uiPriority w:val="99"/&gt;&lt;w:semiHidden/&gt;&lt;w:unhideWhenUsed/&gt;&lt;w:pPr&gt;&lt;w:numPr&gt;&lt;w:numId w:val="4"/&gt;&lt;/w:numPr&gt;&lt;w:ind w:firstLine="0"/&gt;&lt;w:contextualSpacing/&gt;&lt;/w:pPr&gt;&lt;/w:style&gt;&lt;w:style w:type="paragraph" w:styleId="ListBullet5"&gt;&lt;w:name w:val="List Bullet 5"/&gt;&lt;w:basedOn w:val="Normal"/&gt;&lt;w:uiPriority w:val="99"/&gt;&lt;w:semiHidden/&gt;&lt;w:unhideWhenUsed/&gt;&lt;w:pPr&gt;&lt;w:numPr&gt;&lt;w:numId w:val="5"/&gt;&lt;/w:numPr&gt;&lt;w:ind w:firstLine="0"/&gt;&lt;w:contextualSpacing/&gt;&lt;/w:pPr&gt;&lt;/w:style&gt;&lt;w:style w:type="paragraph" w:styleId="ListContinue"&gt;&lt;w:name w:val="List Continue"/&gt;&lt;w:basedOn w:val="Normal"/&gt;&lt;w:uiPriority w:val="99"/&gt;&lt;w:semiHidden/&gt;&lt;w:unhideWhenUsed/&gt;&lt;w:pPr&gt;&lt;w:spacing w:after="120"/&gt;&lt;w:ind w:left="360" w:firstLine="0"/&gt;&lt;w:contextualSpacing/&gt;&lt;/w:pPr&gt;&lt;/w:style&gt;&lt;w:style w:type="paragraph" w:styleId="ListContinue2"&gt;&lt;w:name w:val="List Continue 2"/&gt;&lt;w:basedOn w:val="Normal"/&gt;&lt;w:uiPriority w:val="99"/&gt;&lt;w:semiHidden/&gt;&lt;w:unhideWhenUsed/&gt;&lt;w:pPr&gt;&lt;w:spacing w:after="120"/&gt;&lt;w:ind w:left="720" w:firstLine="0"/&gt;&lt;w:contextualSpacing/&gt;&lt;/w:pPr&gt;&lt;/w:style&gt;&lt;w:style w:type="paragraph" w:styleId="ListContinue3"&gt;&lt;w:name w:val="List Continue 3"/&gt;&lt;w:basedOn w:val="Normal"/&gt;&lt;w:uiPriority w:val="99"/&gt;&lt;w:semiHidden/&gt;&lt;w:unhideWhenUsed/&gt;&lt;w:pPr&gt;&lt;w:spacing w:after="120"/&gt;&lt;w:ind w:left="1080" w:firstLine="0"/&gt;&lt;w:contextualSpacing/&gt;&lt;/w:pPr&gt;&lt;/w:style&gt;&lt;w:style w:type="paragraph" w:styleId="ListContinue4"&gt;&lt;w:name w:val="List Continue 4"/&gt;&lt;w:basedOn w:val="Normal"/&gt;&lt;w:uiPriority w:val="99"/&gt;&lt;w:semiHidden/&gt;&lt;w:unhideWhenUsed/&gt;&lt;w:pPr&gt;&lt;w:spacing w:after="120"/&gt;&lt;w:ind w:left="1440" w:firstLine="0"/&gt;&lt;w:contextualSpacing/&gt;&lt;/w:pPr&gt;&lt;/w:style&gt;&lt;w:style w:type="paragraph" w:styleId="ListContinue5"&gt;&lt;w:name w:val="List Continue 5"/&gt;&lt;w:basedOn w:val="Normal"/&gt;&lt;w:uiPriority w:val="99"/&gt;&lt;w:semiHidden/&gt;&lt;w:unhideWhenUsed/&gt;&lt;w:pPr&gt;&lt;w:spacing w:after="120"/&gt;&lt;w:ind w:left="1800" w:firstLine="0"/&gt;&lt;w:contextualSpacing/&gt;&lt;/w:pPr&gt;&lt;/w:style&gt;&lt;w:style w:type="paragraph" w:styleId="ListNumber"&gt;&lt;w:name w:val="List Number"/&gt;&lt;w:basedOn w:val="Normal"/&gt;&lt;w:uiPriority w:val="8"/&gt;&lt;w:unhideWhenUsed/&gt;&lt;w:qFormat/&gt;&lt;w:pPr&gt;&lt;w:numPr&gt;&lt;w:numId w:val="6"/&gt;&lt;/w:numPr&gt;&lt;w:contextualSpacing/&gt;&lt;/w:pPr&gt;&lt;/w:style&gt;&lt;w:style w:type="paragraph" w:styleId="ListNumber2"&gt;&lt;w:name w:val="List Number 2"/&gt;&lt;w:basedOn w:val="Normal"/&gt;&lt;w:uiPriority w:val="99"/&gt;&lt;w:semiHidden/&gt;&lt;w:unhideWhenUsed/&gt;&lt;w:pPr&gt;&lt;w:numPr&gt;&lt;w:numId w:val="7"/&gt;&lt;/w:numPr&gt;&lt;w:ind w:firstLine="0"/&gt;&lt;w:contextualSpacing/&gt;&lt;/w:pPr&gt;&lt;/w:style&gt;&lt;w:style w:type="paragraph" w:styleId="ListNumber3"&gt;&lt;w:name w:val="List Number 3"/&gt;&lt;w:basedOn w:val="Normal"/&gt;&lt;w:uiPriority w:val="99"/&gt;&lt;w:semiHidden/&gt;&lt;w:unhideWhenUsed/&gt;&lt;w:pPr&gt;&lt;w:numPr&gt;&lt;w:numId w:val="8"/&gt;&lt;/w:numPr&gt;&lt;w:ind w:firstLine="0"/&gt;&lt;w:contextualSpacing/&gt;&lt;/w:pPr&gt;&lt;/w:style&gt;&lt;w:style w:type="paragraph" w:styleId="ListNumber4"&gt;&lt;w:name w:val="List Number 4"/&gt;&lt;w:basedOn w:val="Normal"/&gt;&lt;w:uiPriority w:val="99"/&gt;&lt;w:semiHidden/&gt;&lt;w:unhideWhenUsed/&gt;&lt;w:pPr&gt;&lt;w:numPr&gt;&lt;w:numId w:val="9"/&gt;&lt;/w:numPr&gt;&lt;w:ind w:firstLine="0"/&gt;&lt;w:contextualSpacing/&gt;&lt;/w:pPr&gt;&lt;/w:style&gt;&lt;w:style w:type="paragraph" w:styleId="ListNumber5"&gt;&lt;w:name w:val="List Number 5"/&gt;&lt;w:basedOn w:val="Normal"/&gt;&lt;w:uiPriority w:val="99"/&gt;&lt;w:semiHidden/&gt;&lt;w:unhideWhenUsed/&gt;&lt;w:pPr&gt;&lt;w:numPr&gt;&lt;w:numId w:val="10"/&gt;&lt;/w:numPr&gt;&lt;w:ind w:firstLine="0"/&gt;&lt;w:contextualSpacing/&gt;&lt;/w:pPr&gt;&lt;/w:style&gt;&lt;w:style w:type="paragraph" w:styleId="ListParagraph"&gt;&lt;w:name w:val="List Paragraph"/&gt;&lt;w:basedOn w:val="Normal"/&gt;&lt;w:uiPriority w:val="34"/&gt;&lt;w:semiHidden/&gt;&lt;w:unhideWhenUsed/&gt;&lt;w:qFormat/&gt;&lt;w:pPr&gt;&lt;w:ind w:left="720" w:firstLine="0"/&gt;&lt;w:contextualSpacing/&gt;&lt;/w:pPr&gt;&lt;/w:style&gt;&lt;w:style w:type="paragraph" w:styleId="MacroText"&gt;&lt;w:name w:val="macro"/&gt;&lt;w:link w:val="MacroTextChar"/&gt;&lt;w:uiPriority w:val="99"/&gt;&lt;w:semiHidden/&gt;&lt;w:unhideWhenUsed/&gt;&lt;w:rsid w:val="00EB69D3"/&gt;&lt;w:pPr&gt;&lt;w:tabs&gt;&lt;w:tab w:val="left" w:pos="480"/&gt;&lt;w:tab w:val="left" w:pos="960"/&gt;&lt;w:tab w:val="left" w:pos="1440"/&gt;&lt;w:tab w:val="left" w:pos="1920"/&gt;&lt;w:tab w:val="left" w:pos="2400"/&gt;&lt;w:tab w:val="left" w:pos="2880"/&gt;&lt;w:tab w:val="left" w:pos="3360"/&gt;&lt;w:tab w:val="left" w:pos="3840"/&gt;&lt;w:tab w:val="left" w:pos="4320"/&gt;&lt;/w:tabs&gt;&lt;w:ind w:firstLine="0"/&gt;&lt;/w:pPr&gt;&lt;w:rPr&gt;&lt;w:rFonts w:ascii="Consolas" w:hAnsi="Consolas" w:cs="Consolas"/&gt;&lt;w:kern w:val="24"/&gt;&lt;w:sz w:val="22"/&gt;&lt;w:szCs w:val="20"/&gt;&lt;/w:rPr&gt;&lt;/w:style&gt;&lt;w:style w:type="character" w:customStyle="1" w:styleId="MacroTextChar"&gt;&lt;w:name w:val="Macro Text Char"/&gt;&lt;w:basedOn w:val="DefaultParagraphFont"/&gt;&lt;w:link w:val="MacroText"/&gt;&lt;w:uiPriority w:val="99"/&gt;&lt;w:semiHidden/&gt;&lt;w:rsid w:val="00EB69D3"/&gt;&lt;w:rPr&gt;&lt;w:rFonts w:ascii="Consolas" w:hAnsi="Consolas" w:cs="Consolas"/&gt;&lt;w:kern w:val="24"/&gt;&lt;w:sz w:val="22"/&gt;&lt;w:szCs w:val="20"/&gt;&lt;/w:rPr&gt;&lt;/w:style&gt;&lt;w:style w:type="paragraph" w:styleId="MessageHeader"&gt;&lt;w:name w:val="Message Header"/&gt;&lt;w:basedOn w:val="Normal"/&gt;&lt;w:link w:val="MessageHeaderChar"/&gt;&lt;w:uiPriority w:val="99"/&gt;&lt;w:semiHidden/&gt;&lt;w:unhideWhenUsed/&gt;&lt;w:pPr&gt;&lt;w:pBdr&gt;&lt;w:top w:val="single" w:sz="6" w:space="1" w:color="auto"/&gt;&lt;w:left w:val="single" w:sz="6" w:space="1" w:color="auto"/&gt;&lt;w:bottom w:val="single" w:sz="6" w:space="1" w:color="auto"/&gt;&lt;w:right w:val="single" w:sz="6" w:space="1" w:color="auto"/&gt;&lt;/w:pBdr&gt;&lt;w:shd w:val="pct20" w:color="auto" w:fill="auto"/&gt;&lt;w:spacing w:line="240" w:lineRule="auto"/&gt;&lt;w:ind w:left="1080" w:firstLine="0"/&gt;&lt;/w:pPr&gt;&lt;w:rPr&gt;&lt;w:rFonts w:asciiTheme="majorHAnsi" w:eastAsiaTheme="majorEastAsia" w:hAnsiTheme="majorHAnsi" w:cstheme="majorBidi"/&gt;&lt;/w:rPr&gt;&lt;/w:style&gt;&lt;w:style w:type="character" w:customStyle="1" w:styleId="MessageHeaderChar"&gt;&lt;w:name w:val="Message Header Char"/&gt;&lt;w:basedOn w:val="DefaultParagraphFont"/&gt;&lt;w:link w:val="MessageHeader"/&gt;&lt;w:uiPriority w:val="99"/&gt;&lt;w:semiHidden/&gt;&lt;w:rPr&gt;&lt;w:rFonts w:asciiTheme="majorHAnsi" w:eastAsiaTheme="majorEastAsia" w:hAnsiTheme="majorHAnsi" w:cstheme="majorBidi"/&gt;&lt;w:kern w:val="24"/&gt;&lt;w:shd w:val="pct20" w:color="auto" w:fill="auto"/&gt;&lt;/w:rPr&gt;&lt;/w:style&gt;&lt;w:style w:type="paragraph" w:styleId="NormalWeb"&gt;&lt;w:name w:val="Normal (Web)"/&gt;&lt;w:basedOn w:val="Normal"/&gt;&lt;w:uiPriority w:val="99"/&gt;&lt;w:semiHidden/&gt;&lt;w:unhideWhenUsed/&gt;&lt;w:pPr&gt;&lt;w:ind w:firstLine="0"/&gt;&lt;/w:pPr&gt;&lt;w:rPr&gt;&lt;w:rFonts w:ascii="Times New Roman" w:hAnsi="Times New Roman" w:cs="Times New Roman"/&gt;&lt;/w:rPr&gt;&lt;/w:style&gt;&lt;w:style w:type="paragraph" w:styleId="NormalIndent"&gt;&lt;w:name w:val="Normal Indent"/&gt;&lt;w:basedOn w:val="Normal"/&gt;&lt;w:uiPriority w:val="99"/&gt;&lt;w:semiHidden/&gt;&lt;w:unhideWhenUsed/&gt;&lt;w:pPr&gt;&lt;w:ind w:left="720" w:firstLine="0"/&gt;&lt;/w:pPr&gt;&lt;/w:style&gt;&lt;w:style w:type="paragraph" w:styleId="NoteHeading"&gt;&lt;w:name w:val="Note Heading"/&gt;&lt;w:basedOn w:val="Normal"/&gt;&lt;w:next w:val="Normal"/&gt;&lt;w:link w:val="NoteHeadingChar"/&gt;&lt;w:uiPriority w:val="99"/&gt;&lt;w:semiHidden/&gt;&lt;w:unhideWhenUsed/&gt;&lt;w:pPr&gt;&lt;w:spacing w:line="240" w:lineRule="auto"/&gt;&lt;w:ind w:firstLine="0"/&gt;&lt;/w:pPr&gt;&lt;/w:style&gt;&lt;w:style w:type="character" w:customStyle="1" w:styleId="NoteHeadingChar"&gt;&lt;w:name w:val="Note Heading Char"/&gt;&lt;w:basedOn w:val="DefaultParagraphFont"/&gt;&lt;w:link w:val="NoteHeading"/&gt;&lt;w:uiPriority w:val="99"/&gt;&lt;w:semiHidden/&gt;&lt;w:rPr&gt;&lt;w:kern w:val="24"/&gt;&lt;/w:rPr&gt;&lt;/w:style&gt;&lt;w:style w:type="paragraph" w:styleId="PlainText"&gt;&lt;w:name w:val="Plain Text"/&gt;&lt;w:basedOn w:val="Normal"/&gt;&lt;w:link w:val="PlainTextChar"/&gt;&lt;w:uiPriority w:val="99"/&gt;&lt;w:semiHidden/&gt;&lt;w:unhideWhenUsed/&gt;&lt;w:rsid w:val="00EB69D3"/&gt;&lt;w:pPr&gt;&lt;w:spacing w:line="240" w:lineRule="auto"/&gt;&lt;w:ind w:firstLine="0"/&gt;&lt;/w:pPr&gt;&lt;w:rPr&gt;&lt;w:rFonts w:ascii="Consolas" w:hAnsi="Consolas" w:cs="Consolas"/&gt;&lt;w:sz w:val="22"/&gt;&lt;w:szCs w:val="21"/&gt;&lt;/w:rPr&gt;&lt;/w:style&gt;&lt;w:style w:type="character" w:customStyle="1" w:styleId="PlainTextChar"&gt;&lt;w:name w:val="Plain Text Char"/&gt;&lt;w:basedOn w:val="DefaultParagraphFont"/&gt;&lt;w:link w:val="PlainText"/&gt;&lt;w:uiPriority w:val="99"/&gt;&lt;w:semiHidden/&gt;&lt;w:rsid w:val="00EB69D3"/&gt;&lt;w:rPr&gt;&lt;w:rFonts w:ascii="Consolas" w:hAnsi="Consolas" w:cs="Consolas"/&gt;&lt;w:sz w:val="22"/&gt;&lt;w:szCs w:val="21"/&gt;&lt;/w:rPr&gt;&lt;/w:style&gt;&lt;w:style w:type="paragraph" w:styleId="Quote"&gt;&lt;w:name w:val="Quote"/&gt;&lt;w:basedOn w:val="Normal"/&gt;&lt;w:next w:val="Normal"/&gt;&lt;w:link w:val="QuoteChar"/&gt;&lt;w:uiPriority w:val="29"/&gt;&lt;w:semiHidden/&gt;&lt;w:unhideWhenUsed/&gt;&lt;w:qFormat/&gt;&lt;w:pPr&gt;&lt;w:spacing w:before="200" w:after="160"/&gt;&lt;w:ind w:left="864" w:right="864" w:firstLine="0"/&gt;&lt;w:jc w:val="center"/&gt;&lt;/w:pPr&gt;&lt;w:rPr&gt;&lt;w:i/&gt;&lt;w:iCs/&gt;&lt;w:color w:val="404040" w:themeColor="text1" w:themeTint="BF"/&gt;&lt;/w:rPr&gt;&lt;/w:style&gt;&lt;w:style w:type="character" w:customStyle="1" w:styleId="QuoteChar"&gt;&lt;w:name w:val="Quote Char"/&gt;&lt;w:basedOn w:val="DefaultParagraphFont"/&gt;&lt;w:link w:val="Quote"/&gt;&lt;w:uiPriority w:val="29"/&gt;&lt;w:semiHidden/&gt;&lt;w:rPr&gt;&lt;w:i/&gt;&lt;w:iCs/&gt;&lt;w:color w:val="404040" w:themeColor="text1" w:themeTint="BF"/&gt;&lt;w:kern w:val="24"/&gt;&lt;/w:rPr&gt;&lt;/w:style&gt;&lt;w:style w:type="paragraph" w:styleId="Salutation"&gt;&lt;w:name w:val="Salutation"/&gt;&lt;w:basedOn w:val="Normal"/&gt;&lt;w:next w:val="Normal"/&gt;&lt;w:link w:val="SalutationChar"/&gt;&lt;w:uiPriority w:val="99"/&gt;&lt;w:semiHidden/&gt;&lt;w:unhideWhenUsed/&gt;&lt;w:pPr&gt;&lt;w:ind w:firstLine="0"/&gt;&lt;/w:pPr&gt;&lt;/w:style&gt;&lt;w:style w:type="character" w:customStyle="1" w:styleId="SalutationChar"&gt;&lt;w:name w:val="Salutation Char"/&gt;&lt;w:basedOn w:val="DefaultParagraphFont"/&gt;&lt;w:link w:val="Salutation"/&gt;&lt;w:uiPriority w:val="99"/&gt;&lt;w:semiHidden/&gt;&lt;w:rPr&gt;&lt;w:kern w:val="24"/&gt;&lt;/w:rPr&gt;&lt;/w:style&gt;&lt;w:style w:type="paragraph" w:styleId="Signature"&gt;&lt;w:name w:val="Signature"/&gt;&lt;w:basedOn w:val="Normal"/&gt;&lt;w:link w:val="SignatureChar"/&gt;&lt;w:uiPriority w:val="99"/&gt;&lt;w:semiHidden/&gt;&lt;w:unhideWhenUsed/&gt;&lt;w:pPr&gt;&lt;w:spacing w:line="240" w:lineRule="auto"/&gt;&lt;w:ind w:left="4320" w:firstLine="0"/&gt;&lt;/w:pPr&gt;&lt;/w:style&gt;&lt;w:style w:type="character" w:customStyle="1" w:styleId="SignatureChar"&gt;&lt;w:name w:val="Signature Char"/&gt;&lt;w:basedOn w:val="DefaultParagraphFont"/&gt;&lt;w:link w:val="Signature"/&gt;&lt;w:uiPriority w:val="99"/&gt;&lt;w:semiHidden/&gt;&lt;w:rPr&gt;&lt;w:kern w:val="24"/&gt;&lt;/w:rPr&gt;&lt;/w:style&gt;&lt;w:style w:type="paragraph" w:customStyle="1" w:styleId="Title2"&gt;&lt;w:name w:val="Title 2"/&gt;&lt;w:basedOn w:val="Normal"/&gt;&lt;w:uiPriority w:val="1"/&gt;&lt;w:qFormat/&gt;&lt;w:pPr&gt;&lt;w:ind w:firstLine="0"/&gt;&lt;w:jc w:val="center"/&gt;&lt;/w:pPr&gt;&lt;/w:style&gt;&lt;w:style w:type="paragraph" w:styleId="TableofAuthorities"&gt;&lt;w:name w:val="table of authorities"/&gt;&lt;w:basedOn w:val="Normal"/&gt;&lt;w:next w:val="Normal"/&gt;&lt;w:uiPriority w:val="99"/&gt;&lt;w:semiHidden/&gt;&lt;w:unhideWhenUsed/&gt;&lt;w:pPr&gt;&lt;w:ind w:left="240" w:firstLine="0"/&gt;&lt;/w:pPr&gt;&lt;/w:style&gt;&lt;w:style w:type="paragraph" w:styleId="TableofFigures"&gt;&lt;w:name w:val="table of figures"/&gt;&lt;w:basedOn w:val="Normal"/&gt;&lt;w:next w:val="Normal"/&gt;&lt;w:uiPriority w:val="99"/&gt;&lt;w:semiHidden/&gt;&lt;w:unhideWhenUsed/&gt;&lt;w:pPr&gt;&lt;w:ind w:firstLine="0"/&gt;&lt;/w:pPr&gt;&lt;/w:style&gt;&lt;w:style w:type="paragraph" w:styleId="TOAHeading"&gt;&lt;w:name w:val="toa heading"/&gt;&lt;w:basedOn w:val="Normal"/&gt;&lt;w:next w:val="Normal"/&gt;&lt;w:uiPriority w:val="99"/&gt;&lt;w:semiHidden/&gt;&lt;w:unhideWhenUsed/&gt;&lt;w:pPr&gt;&lt;w:spacing w:before="120"/&gt;&lt;w:ind w:firstLine="0"/&gt;&lt;/w:pPr&gt;&lt;w:rPr&gt;&lt;w:rFonts w:asciiTheme="majorHAnsi" w:eastAsiaTheme="majorEastAsia" w:hAnsiTheme="majorHAnsi" w:cstheme="majorBidi"/&gt;&lt;w:b/&gt;&lt;w:bCs/&gt;&lt;/w:rPr&gt;&lt;/w:style&gt;&lt;w:style w:type="paragraph" w:styleId="TOC4"&gt;&lt;w:name w:val="toc 4"/&gt;&lt;w:basedOn w:val="Normal"/&gt;&lt;w:next w:val="Normal"/&gt;&lt;w:autoRedefine/&gt;&lt;w:uiPriority w:val="39"/&gt;&lt;w:semiHidden/&gt;&lt;w:unhideWhenUsed/&gt;&lt;w:pPr&gt;&lt;w:spacing w:after="100"/&gt;&lt;w:ind w:left="720" w:firstLine="0"/&gt;&lt;/w:pPr&gt;&lt;/w:style&gt;&lt;w:style w:type="paragraph" w:styleId="TOC5"&gt;&lt;w:name w:val="toc 5"/&gt;&lt;w:basedOn w:val="Normal"/&gt;&lt;w:next w:val="Normal"/&gt;&lt;w:autoRedefine/&gt;&lt;w:uiPriority w:val="39"/&gt;&lt;w:semiHidden/&gt;&lt;w:unhideWhenUsed/&gt;&lt;w:pPr&gt;&lt;w:spacing w:after="100"/&gt;&lt;w:ind w:left="960" w:firstLine="0"/&gt;&lt;/w:pPr&gt;&lt;/w:style&gt;&lt;w:style w:type="paragraph" w:styleId="TOC6"&gt;&lt;w:name w:val="toc 6"/&gt;&lt;w:basedOn w:val="Normal"/&gt;&lt;w:next w:val="Normal"/&gt;&lt;w:autoRedefine/&gt;&lt;w:uiPriority w:val="39"/&gt;&lt;w:semiHidden/&gt;&lt;w:unhideWhenUsed/&gt;&lt;w:pPr&gt;&lt;w:spacing w:after="100"/&gt;&lt;w:ind w:left="1200" w:firstLine="0"/&gt;&lt;/w:pPr&gt;&lt;/w:style&gt;&lt;w:style w:type="paragraph" w:styleId="TOC7"&gt;&lt;w:name w:val="toc 7"/&gt;&lt;w:basedOn w:val="Normal"/&gt;&lt;w:next w:val="Normal"/&gt;&lt;w:autoRedefine/&gt;&lt;w:uiPriority w:val="39"/&gt;&lt;w:semiHidden/&gt;&lt;w:unhideWhenUsed/&gt;&lt;w:pPr&gt;&lt;w:spacing w:after="100"/&gt;&lt;w:ind w:left="1440" w:firstLine="0"/&gt;&lt;/w:pPr&gt;&lt;/w:style&gt;&lt;w:style w:type="paragraph" w:styleId="TOC8"&gt;&lt;w:name w:val="toc 8"/&gt;&lt;w:basedOn w:val="Normal"/&gt;&lt;w:next w:val="Normal"/&gt;&lt;w:autoRedefine/&gt;&lt;w:uiPriority w:val="39"/&gt;&lt;w:semiHidden/&gt;&lt;w:unhideWhenUsed/&gt;&lt;w:pPr&gt;&lt;w:spacing w:after="100"/&gt;&lt;w:ind w:left="1680" w:firstLine="0"/&gt;&lt;/w:pPr&gt;&lt;/w:style&gt;&lt;w:style w:type="paragraph" w:styleId="TOC9"&gt;&lt;w:name w:val="toc 9"/&gt;&lt;w:basedOn w:val="Normal"/&gt;&lt;w:next w:val="Normal"/&gt;&lt;w:autoRedefine/&gt;&lt;w:uiPriority w:val="39"/&gt;&lt;w:semiHidden/&gt;&lt;w:unhideWhenUsed/&gt;&lt;w:pPr&gt;&lt;w:spacing w:after="100"/&gt;&lt;w:ind w:left="1920" w:firstLine="0"/&gt;&lt;/w:pPr&gt;&lt;/w:style&gt;&lt;w:style w:type="character" w:styleId="EndnoteReference"&gt;&lt;w:name w:val="endnote reference"/&gt;&lt;w:basedOn w:val="DefaultParagraphFont"/&gt;&lt;w:uiPriority w:val="99"/&gt;&lt;w:semiHidden/&gt;&lt;w:unhideWhenUsed/&gt;&lt;w:rPr&gt;&lt;w:vertAlign w:val="superscript"/&gt;&lt;/w:rPr&gt;&lt;/w:style&gt;&lt;w:style w:type="character" w:styleId="FootnoteReference"&gt;&lt;w:name w:val="footnote reference"/&gt;&lt;w:basedOn w:val="DefaultParagraphFont"/&gt;&lt;w:uiPriority w:val="99"/&gt;&lt;w:qFormat/&gt;&lt;w:rPr&gt;&lt;w:vertAlign w:val="superscript"/&gt;&lt;/w:rPr&gt;&lt;/w:style&gt;&lt;w:style w:type="table" w:customStyle="1" w:styleId="APAReport"&gt;&lt;w:name w:val="APA Report"/&gt;&lt;w:basedOn w:val="TableNormal"/&gt;&lt;w:uiPriority w:val="99"/&gt;&lt;w:rsid w:val="003F7CBD"/&gt;&lt;w:pPr&gt;&lt;w:spacing w:line="240" w:lineRule="auto"/&gt;&lt;w:ind w:firstLine="0"/&gt;&lt;/w:pPr&gt;&lt;w:tblPr&gt;&lt;w:tblInd w:w="0" w:type="dxa"/&gt;&lt;w:tblBorders&gt;&lt;w:top w:val="single" w:sz="12" w:space="0" w:color="auto"/&gt;&lt;w:bottom w:val="single" w:sz="12" w:space="0" w:color="auto"/&gt;&lt;/w:tblBorders&gt;&lt;w:tblCellMar&gt;&lt;w:top w:w="0" w:type="dxa"/&gt;&lt;w:left w:w="108" w:type="dxa"/&gt;&lt;w:bottom w:w="0" w:type="dxa"/&gt;&lt;w:right w:w="108" w:type="dxa"/&gt;&lt;/w:tblCellMar&gt;&lt;/w:tblPr&gt;&lt;w:tblStylePr w:type="firstRow"&gt;&lt;w:rPr&gt;&lt;w:rFonts w:asciiTheme="majorHAnsi" w:hAnsiTheme="majorHAnsi"/&gt;&lt;/w:rPr&gt;&lt;w:tblPr/&gt;&lt;w:tcPr&gt;&lt;w:tcBorders&gt;&lt;w:top w:val="single" w:sz="12" w:space="0" w:color="auto"/&gt;&lt;w:left w:val="nil"/&gt;&lt;w:bottom w:val="single" w:sz="12" w:space="0" w:color="auto"/&gt;&lt;w:right w:val="nil"/&gt;&lt;w:insideH w:val="nil"/&gt;&lt;w:insideV w:val="nil"/&gt;&lt;w:tl2br w:val="nil"/&gt;&lt;w:tr2bl w:val="nil"/&gt;&lt;/w:tcBorders&gt;&lt;/w:tcPr&gt;&lt;/w:tblStylePr&gt;&lt;/w:style&gt;&lt;w:style w:type="paragraph" w:customStyle="1" w:styleId="TableFigure"&gt;&lt;w:name w:val="Table/Figure"/&gt;&lt;w:basedOn w:val="Normal"/&gt;&lt;w:uiPriority w:val="7"/&gt;&lt;w:qFormat/&gt;&lt;w:pPr&gt;&lt;w:spacing w:before="240"/&gt;&lt;w:ind w:firstLine="0"/&gt;&lt;w:contextualSpacing/&gt;&lt;/w:pPr&gt;&lt;/w:style&gt;&lt;w:style w:type="paragraph" w:styleId="Footer"&gt;&lt;w:name w:val="footer"/&gt;&lt;w:basedOn w:val="Normal"/&gt;&lt;w:link w:val="FooterChar"/&gt;&lt;w:uiPriority w:val="99"/&gt;&lt;w:qFormat/&gt;&lt;w:pPr&gt;&lt;w:tabs&gt;&lt;w:tab w:val="center" w:pos="4680"/&gt;&lt;w:tab w:val="right" w:pos="9360"/&gt;&lt;/w:tabs&gt;&lt;w:spacing w:line="240" w:lineRule="auto"/&gt;&lt;/w:pPr&gt;&lt;/w:style&gt;&lt;w:style w:type="character" w:customStyle="1" w:styleId="FooterChar"&gt;&lt;w:name w:val="Footer Char"/&gt;&lt;w:basedOn w:val="DefaultParagraphFont"/&gt;&lt;w:link w:val="Footer"/&gt;&lt;w:uiPriority w:val="99"/&gt;&lt;w:rsid w:val="00DB2E59"/&gt;&lt;/w:style&gt;&lt;w:style w:type="character" w:styleId="CommentReference"&gt;&lt;w:name w:val="annotation reference"/&gt;&lt;w:basedOn w:val="DefaultParagraphFont"/&gt;&lt;w:uiPriority w:val="99"/&gt;&lt;w:semiHidden/&gt;&lt;w:unhideWhenUsed/&gt;&lt;w:rsid w:val="00EB69D3"/&gt;&lt;w:rPr&gt;&lt;w:sz w:val="22"/&gt;&lt;w:szCs w:val="16"/&gt;&lt;/w:rPr&gt;&lt;/w:style&gt;&lt;w:style w:type="paragraph" w:styleId="EndnoteText"&gt;&lt;w:name w:val="endnote text"/&gt;&lt;w:basedOn w:val="Normal"/&gt;&lt;w:link w:val="EndnoteTextChar"/&gt;&lt;w:uiPriority w:val="99"/&gt;&lt;w:semiHidden/&gt;&lt;w:unhideWhenUsed/&gt;&lt;w:qFormat/&gt;&lt;w:rsid w:val="00EB69D3"/&gt;&lt;w:pPr&gt;&lt;w:spacing w:line="240" w:lineRule="auto"/&gt;&lt;/w:pPr&gt;&lt;w:rPr&gt;&lt;w:sz w:val="22"/&gt;&lt;w:szCs w:val="20"/&gt;&lt;/w:rPr&gt;&lt;/w:style&gt;&lt;w:style w:type="character" w:customStyle="1" w:styleId="EndnoteTextChar"&gt;&lt;w:name w:val="Endnote Text Char"/&gt;&lt;w:basedOn w:val="DefaultParagraphFont"/&gt;&lt;w:link w:val="EndnoteText"/&gt;&lt;w:uiPriority w:val="99"/&gt;&lt;w:semiHidden/&gt;&lt;w:rsid w:val="00EB69D3"/&gt;&lt;w:rPr&gt;&lt;w:sz w:val="22"/&gt;&lt;w:szCs w:val="20"/&gt;&lt;/w:rPr&gt;&lt;/w:style&gt;&lt;w:style w:type="character" w:styleId="HTMLCode"&gt;&lt;w:name w:val="HTML Code"/&gt;&lt;w:basedOn w:val="DefaultParagraphFont"/&gt;&lt;w:uiPriority w:val="99"/&gt;&lt;w:semiHidden/&gt;&lt;w:unhideWhenUsed/&gt;&lt;w:rsid w:val="00EB69D3"/&gt;&lt;w:rPr&gt;&lt;w:rFonts w:ascii="Consolas" w:hAnsi="Consolas"/&gt;&lt;w:sz w:val="22"/&gt;&lt;w:szCs w:val="20"/&gt;&lt;/w:rPr&gt;&lt;/w:style&gt;&lt;w:style w:type="character" w:styleId="HTMLKeyboard"&gt;&lt;w:name w:val="HTML Keyboard"/&gt;&lt;w:basedOn w:val="DefaultParagraphFont"/&gt;&lt;w:uiPriority w:val="99"/&gt;&lt;w:semiHidden/&gt;&lt;w:unhideWhenUsed/&gt;&lt;w:rsid w:val="00EB69D3"/&gt;&lt;w:rPr&gt;&lt;w:rFonts w:ascii="Consolas" w:hAnsi="Consolas"/&gt;&lt;w:sz w:val="22"/&gt;&lt;w:szCs w:val="20"/&gt;&lt;/w:rPr&gt;&lt;/w:style&gt;&lt;w:style w:type="character" w:styleId="HTMLTypewriter"&gt;&lt;w:name w:val="HTML Typewriter"/&gt;&lt;w:basedOn w:val="DefaultParagraphFont"/&gt;&lt;w:uiPriority w:val="99"/&gt;&lt;w:semiHidden/&gt;&lt;w:unhideWhenUsed/&gt;&lt;w:rsid w:val="00EB69D3"/&gt;&lt;w:rPr&gt;&lt;w:rFonts w:ascii="Consolas" w:hAnsi="Consolas"/&gt;&lt;w:sz w:val="22"/&gt;&lt;w:szCs w:val="20"/&gt;&lt;/w:rPr&gt;&lt;/w:style&gt;&lt;w:style w:type="paragraph" w:styleId="TOCHeading"&gt;&lt;w:name w:val="TOC Heading"/&gt;&lt;w:basedOn w:val="Heading1"/&gt;&lt;w:next w:val="Normal"/&gt;&lt;w:uiPriority w:val="39"/&gt;&lt;w:semiHidden/&gt;&lt;w:unhideWhenUsed/&gt;&lt;w:qFormat/&gt;&lt;w:rsid w:val="00EB69D3"/&gt;&lt;w:pPr&gt;&lt;w:spacing w:before="240"/&gt;&lt;w:ind w:firstLine="720"/&gt;&lt;w:jc w:val="left"/&gt;&lt;w:outlineLvl w:val="9"/&gt;&lt;/w:pPr&gt;&lt;w:rPr&gt;&lt;w:b w:val="0"/&gt;&lt;w:bCs w:val="0"/&gt;&lt;w:color w:val="6E6E6E" w:themeColor="accent1" w:themeShade="80"/&gt;&lt;w:sz w:val="32"/&gt;&lt;w:szCs w:val="32"/&gt;&lt;/w:rPr&gt;&lt;/w:style&gt;&lt;w:style w:type="character" w:styleId="IntenseReference"&gt;&lt;w:name w:val="Intense Reference"/&gt;&lt;w:basedOn w:val="DefaultParagraphFont"/&gt;&lt;w:uiPriority w:val="32"/&gt;&lt;w:semiHidden/&gt;&lt;w:unhideWhenUsed/&gt;&lt;w:qFormat/&gt;&lt;w:rsid w:val="00EB69D3"/&gt;&lt;w:rPr&gt;&lt;w:b/&gt;&lt;w:bCs/&gt;&lt;w:caps w:val="0"/&gt;&lt;w:smallCaps/&gt;&lt;w:color w:val="6E6E6E" w:themeColor="accent1" w:themeShade="80"/&gt;&lt;w:spacing w:val="5"/&gt;&lt;/w:rPr&gt;&lt;/w:style&gt;&lt;w:style w:type="character" w:styleId="IntenseEmphasis"&gt;&lt;w:name w:val="Intense Emphasis"/&gt;&lt;w:basedOn w:val="DefaultParagraphFont"/&gt;&lt;w:uiPriority w:val="21"/&gt;&lt;w:semiHidden/&gt;&lt;w:unhideWhenUsed/&gt;&lt;w:qFormat/&gt;&lt;w:rsid w:val="00EB69D3"/&gt;&lt;w:rPr&gt;&lt;w:i/&gt;&lt;w:iCs/&gt;&lt;w:color w:val="6E6E6E" w:themeColor="accent1" w:themeShade="80"/&gt;&lt;/w:rPr&gt;&lt;/w:style&gt;&lt;w:style w:type="table" w:styleId="GridTable4-Accent4"&gt;&lt;w:name w:val="Grid Table 4 Accent 4"/&gt;&lt;w:basedOn w:val="TableNormal"/&gt;&lt;w:uiPriority w:val="49"/&gt;&lt;w:rsid w:val="003F7CBD"/&gt;&lt;w:pPr&gt;&lt;w:spacing w:line="240" w:lineRule="auto"/&gt;&lt;/w:pPr&gt;&lt;w:tblPr&gt;&lt;w:tblStyleRowBandSize w:val="1"/&gt;&lt;w:tblStyleColBandSize w:val="1"/&gt;&lt;w:tblInd w:w="0" w:type="dxa"/&gt;&lt;w:tblBorders&gt;&lt;w:top w:val="single" w:sz="4" w:space="0" w:color="B2B2B2" w:themeColor="accent4" w:themeTint="99"/&gt;&lt;w:left w:val="single" w:sz="4" w:space="0" w:color="B2B2B2" w:themeColor="accent4" w:themeTint="99"/&gt;&lt;w:bottom w:val="single" w:sz="4" w:space="0" w:color="B2B2B2" w:themeColor="accent4" w:themeTint="99"/&gt;&lt;w:right w:val="single" w:sz="4" w:space="0" w:color="B2B2B2" w:themeColor="accent4" w:themeTint="99"/&gt;&lt;w:insideH w:val="single" w:sz="4" w:space="0" w:color="B2B2B2" w:themeColor="accent4" w:themeTint="99"/&gt;&lt;w:insideV w:val="single" w:sz="4" w:space="0" w:color="B2B2B2" w:themeColor="accent4" w:themeTint="99"/&gt;&lt;/w:tblBorders&gt;&lt;w:tblCellMar&gt;&lt;w:top w:w="0" w:type="dxa"/&gt;&lt;w:left w:w="108" w:type="dxa"/&gt;&lt;w:bottom w:w="0" w:type="dxa"/&gt;&lt;w:right w:w="108" w:type="dxa"/&gt;&lt;/w:tblCellMar&gt;&lt;/w:tblPr&gt;&lt;w:tblStylePr w:type="firstRow"&gt;&lt;w:rPr&gt;&lt;w:b/&gt;&lt;w:bCs/&gt;&lt;w:color w:val="FFFFFF" w:themeColor="background1"/&gt;&lt;/w:rPr&gt;&lt;w:tblPr/&gt;&lt;w:tcPr&gt;&lt;w:tcBorders&gt;&lt;w:top w:val="single" w:sz="4" w:space="0" w:color="808080" w:themeColor="accent4"/&gt;&lt;w:left w:val="single" w:sz="4" w:space="0" w:color="808080" w:themeColor="accent4"/&gt;&lt;w:bottom w:val="single" w:sz="4" w:space="0" w:color="808080" w:themeColor="accent4"/&gt;&lt;w:right w:val="single" w:sz="4" w:space="0" w:color="808080" w:themeColor="accent4"/&gt;&lt;w:insideH w:val="nil"/&gt;&lt;w:insideV w:val="nil"/&gt;&lt;/w:tcBorders&gt;&lt;w:shd w:val="clear" w:color="auto" w:fill="808080" w:themeFill="accent4"/&gt;&lt;/w:tcPr&gt;&lt;/w:tblStylePr&gt;&lt;w:tblStylePr w:type="lastRow"&gt;&lt;w:rPr&gt;&lt;w:b/&gt;&lt;w:bCs/&gt;&lt;/w:rPr&gt;&lt;w:tblPr/&gt;&lt;w:tcPr&gt;&lt;w:tcBorders&gt;&lt;w:top w:val="double" w:sz="4" w:space="0" w:color="808080" w:themeColor="accent4"/&gt;&lt;/w:tcBorders&gt;&lt;/w:tcPr&gt;&lt;/w:tblStylePr&gt;&lt;w:tblStylePr w:type="firstCol"&gt;&lt;w:rPr&gt;&lt;w:b/&gt;&lt;w:bCs/&gt;&lt;/w:rPr&gt;&lt;/w:tblStylePr&gt;&lt;w:tblStylePr w:type="lastCol"&gt;&lt;w:rPr&gt;&lt;w:b/&gt;&lt;w:bCs/&gt;&lt;/w:rPr&gt;&lt;/w:tblStylePr&gt;&lt;w:tblStylePr w:type="band1Vert"&gt;&lt;w:tblPr/&gt;&lt;w:tcPr&gt;&lt;w:shd w:val="clear" w:color="auto" w:fill="E5E5E5" w:themeFill="accent4" w:themeFillTint="33"/&gt;&lt;/w:tcPr&gt;&lt;/w:tblStylePr&gt;&lt;w:tblStylePr w:type="band1Horz"&gt;&lt;w:tblPr/&gt;&lt;w:tcPr&gt;&lt;w:shd w:val="clear" w:color="auto" w:fill="E5E5E5" w:themeFill="accent4" w:themeFillTint="33"/&gt;&lt;/w:tcPr&gt;&lt;/w:tblStylePr&gt;&lt;/w:style&gt;&lt;w:style w:type="table" w:styleId="GridTable2-Accent1"&gt;&lt;w:name w:val="Grid Table 2 Accent 1"/&gt;&lt;w:basedOn w:val="TableNormal"/&gt;&lt;w:uiPriority w:val="47"/&gt;&lt;w:rsid w:val="008A78F1"/&gt;&lt;w:pPr&gt;&lt;w:spacing w:line="240" w:lineRule="auto"/&gt;&lt;/w:pPr&gt;&lt;w:tblPr&gt;&lt;w:tblStyleRowBandSize w:val="1"/&gt;&lt;w:tblStyleColBandSize w:val="1"/&gt;&lt;w:tblInd w:w="0" w:type="dxa"/&gt;&lt;w:tblBorders&gt;&lt;w:top w:val="single" w:sz="2" w:space="0" w:color="EAEAEA" w:themeColor="accent1" w:themeTint="99"/&gt;&lt;w:bottom w:val="single" w:sz="2" w:space="0" w:color="EAEAEA" w:themeColor="accent1" w:themeTint="99"/&gt;&lt;w:insideH w:val="single" w:sz="2" w:space="0" w:color="EAEAEA" w:themeColor="accent1" w:themeTint="99"/&gt;&lt;w:insideV w:val="single" w:sz="2" w:space="0" w:color="EAEAEA" w:themeColor="accent1" w:themeTint="99"/&gt;&lt;/w:tblBorders&gt;&lt;w:tblCellMar&gt;&lt;w:top w:w="0" w:type="dxa"/&gt;&lt;w:left w:w="0" w:type="dxa"/&gt;&lt;w:bottom w:w="0" w:type="dxa"/&gt;&lt;w:right w:w="0" w:type="dxa"/&gt;&lt;/w:tblCellMar&gt;&lt;/w:tblPr&gt;&lt;w:tblStylePr w:type="firstRow"&gt;&lt;w:rPr&gt;&lt;w:b w:val="0"/&gt;&lt;w:bCs/&gt;&lt;w:i w:val="0"/&gt;&lt;/w:rPr&gt;&lt;w:tblPr/&gt;&lt;w:tcPr&gt;&lt;w:tcBorders&gt;&lt;w:top w:val="nil"/&gt;&lt;w:left w:val="nil"/&gt;&lt;w:bottom w:val="nil"/&gt;&lt;w:right w:val="nil"/&gt;&lt;w:insideH w:val="nil"/&gt;&lt;w:insideV w:val="nil"/&gt;&lt;w:tl2br w:val="nil"/&gt;&lt;w:tr2bl w:val="nil"/&gt;&lt;/w:tcBorders&gt;&lt;w:shd w:val="clear" w:color="auto" w:fill="FFFFFF" w:themeFill="background1"/&gt;&lt;/w:tcPr&gt;&lt;/w:tblStylePr&gt;&lt;w:tblStylePr w:type="lastRow"&gt;&lt;w:rPr&gt;&lt;w:b/&gt;&lt;w:bCs/&gt;&lt;/w:rPr&gt;&lt;w:tblPr/&gt;&lt;w:tcPr&gt;&lt;w:tcBorders&gt;&lt;w:top w:val="double" w:sz="2" w:space="0" w:color="EAEAEA" w:themeColor="accent1" w:themeTint="99"/&gt;&lt;w:bottom w:val="nil"/&gt;&lt;w:insideH w:val="nil"/&gt;&lt;w:insideV w:val="nil"/&gt;&lt;/w:tcBorders&gt;&lt;w:shd w:val="clear" w:color="auto" w:fill="FFFFFF" w:themeFill="background1"/&gt;&lt;/w:tcPr&gt;&lt;/w:tblStylePr&gt;&lt;w:tblStylePr w:type="firstCol"&gt;&lt;w:rPr&gt;&lt;w:b/&gt;&lt;w:bCs/&gt;&lt;/w:rPr&gt;&lt;/w:tblStylePr&gt;&lt;w:tblStylePr w:type="lastCol"&gt;&lt;w:rPr&gt;&lt;w:b/&gt;&lt;w:bCs/&gt;&lt;/w:rPr&gt;&lt;/w:tblStylePr&gt;&lt;w:tblStylePr w:type="band1Vert"&gt;&lt;w:tblPr/&gt;&lt;w:tcPr&gt;&lt;w:shd w:val="clear" w:color="auto" w:fill="F8F8F8" w:themeFill="accent1" w:themeFillTint="33"/&gt;&lt;/w:tcPr&gt;&lt;/w:tblStylePr&gt;&lt;w:tblStylePr w:type="band1Horz"&gt;&lt;w:tblPr/&gt;&lt;w:tcPr&gt;&lt;w:shd w:val="clear" w:color="auto" w:fill="F8F8F8" w:themeFill="accent1" w:themeFillTint="33"/&gt;&lt;/w:tcPr&gt;&lt;/w:tblStylePr&gt;&lt;/w:style&gt;&lt;/w:styles&gt;&lt;/pkg:xmlData&gt;&lt;/pkg:part&gt;&lt;pkg:part pkg:name="/word/numbering.xml" pkg:contentType="application/vnd.openxmlformats-officedocument.wordprocessingml.numbering+xml"&gt;&lt;pkg:xmlData&gt;&lt;w:numbering mc:Ignorable="w14 w15 wp14"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xmlns:wps="http://schemas.microsoft.com/office/word/2010/wordprocessingShape"&gt;&lt;w:abstractNum w:abstractNumId="0"&gt;&lt;w:nsid w:val="FFFFFF7C"/&gt;&lt;w:multiLevelType w:val="singleLevel"/&gt;&lt;w:tmpl w:val="6ED08D94"/&gt;&lt;w:lvl w:ilvl="0"&gt;&lt;w:start w:val="1"/&gt;&lt;w:numFmt w:val="decimal"/&gt;&lt;w:pStyle w:val="ListNumber5"/&gt;&lt;w:lvlText w:val="%1."/&gt;&lt;w:lvlJc w:val="left"/&gt;&lt;w:pPr&gt;&lt;w:tabs&gt;&lt;w:tab w:val="num" w:pos="1800"/&gt;&lt;/w:tabs&gt;&lt;w:ind w:left="1800" w:hanging="360"/&gt;&lt;/w:pPr&gt;&lt;/w:lvl&gt;&lt;/w:abstractNum&gt;&lt;w:abstractNum w:abstractNumId="1"&gt;&lt;w:nsid w:val="FFFFFF7D"/&gt;&lt;w:multiLevelType w:val="singleLevel"/&gt;&lt;w:tmpl w:val="3D5203EE"/&gt;&lt;w:lvl w:ilvl="0"&gt;&lt;w:start w:val="1"/&gt;&lt;w:numFmt w:val="decimal"/&gt;&lt;w:pStyle w:val="ListNumber4"/&gt;&lt;w:lvlText w:val="%1."/&gt;&lt;w:lvlJc w:val="left"/&gt;&lt;w:pPr&gt;&lt;w:tabs&gt;&lt;w:tab w:val="num" w:pos="1440"/&gt;&lt;/w:tabs&gt;&lt;w:ind w:left="1440" w:hanging="360"/&gt;&lt;/w:pPr&gt;&lt;/w:lvl&gt;&lt;/w:abstractNum&gt;&lt;w:abstractNum w:abstractNumId="2"&gt;&lt;w:nsid w:val="FFFFFF7E"/&gt;&lt;w:multiLevelType w:val="singleLevel"/&gt;&lt;w:tmpl w:val="F2DC96EC"/&gt;&lt;w:lvl w:ilvl="0"&gt;&lt;w:start w:val="1"/&gt;&lt;w:numFmt w:val="decimal"/&gt;&lt;w:pStyle w:val="ListNumber3"/&gt;&lt;w:lvlText w:val="%1."/&gt;&lt;w:lvlJc w:val="left"/&gt;&lt;w:pPr&gt;&lt;w:tabs&gt;&lt;w:tab w:val="num" w:pos="1080"/&gt;&lt;/w:tabs&gt;&lt;w:ind w:left="1080" w:hanging="360"/&gt;&lt;/w:pPr&gt;&lt;/w:lvl&gt;&lt;/w:abstractNum&gt;&lt;w:abstractNum w:abstractNumId="3"&gt;&lt;w:nsid w:val="FFFFFF7F"/&gt;&lt;w:multiLevelType w:val="singleLevel"/&gt;&lt;w:tmpl w:val="94D2CA36"/&gt;&lt;w:lvl w:ilvl="0"&gt;&lt;w:start w:val="1"/&gt;&lt;w:numFmt w:val="decimal"/&gt;&lt;w:pStyle w:val="ListNumber2"/&gt;&lt;w:lvlText w:val="%1."/&gt;&lt;w:lvlJc w:val="left"/&gt;&lt;w:pPr&gt;&lt;w:tabs&gt;&lt;w:tab w:val="num" w:pos="720"/&gt;&lt;/w:tabs&gt;&lt;w:ind w:left="720" w:hanging="360"/&gt;&lt;/w:pPr&gt;&lt;/w:lvl&gt;&lt;/w:abstractNum&gt;&lt;w:abstractNum w:abstractNumId="4"&gt;&lt;w:nsid w:val="FFFFFF80"/&gt;&lt;w:multiLevelType w:val="singleLevel"/&gt;&lt;w:tmpl w:val="17BCEBA6"/&gt;&lt;w:lvl w:ilvl="0"&gt;&lt;w:start w:val="1"/&gt;&lt;w:numFmt w:val="bullet"/&gt;&lt;w:pStyle w:val="ListBullet5"/&gt;&lt;w:lvlText w:val=""/&gt;&lt;w:lvlJc w:val="left"/&gt;&lt;w:pPr&gt;&lt;w:tabs&gt;&lt;w:tab w:val="num" w:pos="1800"/&gt;&lt;/w:tabs&gt;&lt;w:ind w:left="1800" w:hanging="360"/&gt;&lt;/w:pPr&gt;&lt;w:rPr&gt;&lt;w:rFonts w:ascii="Symbol" w:hAnsi="Symbol" w:hint="default"/&gt;&lt;/w:rPr&gt;&lt;/w:lvl&gt;&lt;/w:abstractNum&gt;&lt;w:abstractNum w:abstractNumId="5"&gt;&lt;w:nsid w:val="FFFFFF81"/&gt;&lt;w:multiLevelType w:val="singleLevel"/&gt;&lt;w:tmpl w:val="7D386FFE"/&gt;&lt;w:lvl w:ilvl="0"&gt;&lt;w:start w:val="1"/&gt;&lt;w:numFmt w:val="bullet"/&gt;&lt;w:pStyle w:val="ListBullet4"/&gt;&lt;w:lvlText w:val=""/&gt;&lt;w:lvlJc w:val="left"/&gt;&lt;w:pPr&gt;&lt;w:tabs&gt;&lt;w:tab w:val="num" w:pos="1440"/&gt;&lt;/w:tabs&gt;&lt;w:ind w:left="1440" w:hanging="360"/&gt;&lt;/w:pPr&gt;&lt;w:rPr&gt;&lt;w:rFonts w:ascii="Symbol" w:hAnsi="Symbol" w:hint="default"/&gt;&lt;/w:rPr&gt;&lt;/w:lvl&gt;&lt;/w:abstractNum&gt;&lt;w:abstractNum w:abstractNumId="6"&gt;&lt;w:nsid w:val="FFFFFF82"/&gt;&lt;w:multiLevelType w:val="singleLevel"/&gt;&lt;w:tmpl w:val="D73A80FE"/&gt;&lt;w:lvl w:ilvl="0"&gt;&lt;w:start w:val="1"/&gt;&lt;w:numFmt w:val="bullet"/&gt;&lt;w:pStyle w:val="ListBullet3"/&gt;&lt;w:lvlText w:val=""/&gt;&lt;w:lvlJc w:val="left"/&gt;&lt;w:pPr&gt;&lt;w:tabs&gt;&lt;w:tab w:val="num" w:pos="1080"/&gt;&lt;/w:tabs&gt;&lt;w:ind w:left="1080" w:hanging="360"/&gt;&lt;/w:pPr&gt;&lt;w:rPr&gt;&lt;w:rFonts w:ascii="Symbol" w:hAnsi="Symbol" w:hint="default"/&gt;&lt;/w:rPr&gt;&lt;/w:lvl&gt;&lt;/w:abstractNum&gt;&lt;w:abstractNum w:abstractNumId="7"&gt;&lt;w:nsid w:val="FFFFFF83"/&gt;&lt;w:multiLevelType w:val="singleLevel"/&gt;&lt;w:tmpl w:val="0AB08068"/&gt;&lt;w:lvl w:ilvl="0"&gt;&lt;w:start w:val="1"/&gt;&lt;w:numFmt w:val="bullet"/&gt;&lt;w:pStyle w:val="ListBullet2"/&gt;&lt;w:lvlText w:val=""/&gt;&lt;w:lvlJc w:val="left"/&gt;&lt;w:pPr&gt;&lt;w:tabs&gt;&lt;w:tab w:val="num" w:pos="720"/&gt;&lt;/w:tabs&gt;&lt;w:ind w:left="720" w:hanging="360"/&gt;&lt;/w:pPr&gt;&lt;w:rPr&gt;&lt;w:rFonts w:ascii="Symbol" w:hAnsi="Symbol" w:hint="default"/&gt;&lt;/w:rPr&gt;&lt;/w:lvl&gt;&lt;/w:abstractNum&gt;&lt;w:abstractNum w:abstractNumId="8"&gt;&lt;w:nsid w:val="FFFFFF88"/&gt;&lt;w:multiLevelType w:val="singleLevel"/&gt;&lt;w:tmpl w:val="D6E00290"/&gt;&lt;w:lvl w:ilvl="0"&gt;&lt;w:start w:val="1"/&gt;&lt;w:numFmt w:val="decimal"/&gt;&lt;w:pStyle w:val="ListNumber"/&gt;&lt;w:lvlText w:val="%1."/&gt;&lt;w:lvlJc w:val="left"/&gt;&lt;w:pPr&gt;&lt;w:tabs&gt;&lt;w:tab w:val="num" w:pos="1080"/&gt;&lt;/w:tabs&gt;&lt;w:ind w:left="1080" w:hanging="360"/&gt;&lt;/w:pPr&gt;&lt;w:rPr&gt;&lt;w:rFonts w:hint="default"/&gt;&lt;/w:rPr&gt;&lt;/w:lvl&gt;&lt;/w:abstractNum&gt;&lt;w:abstractNum w:abstractNumId="9"&gt;&lt;w:nsid w:val="FFFFFF89"/&gt;&lt;w:multiLevelType w:val="singleLevel"/&gt;&lt;w:tmpl w:val="D6FC344C"/&gt;&lt;w:lvl w:ilvl="0"&gt;&lt;w:start w:val="1"/&gt;&lt;w:numFmt w:val="bullet"/&gt;&lt;w:pStyle w:val="ListBullet"/&gt;&lt;w:lvlText w:val=""/&gt;&lt;w:lvlJc w:val="left"/&gt;&lt;w:pPr&gt;&lt;w:tabs&gt;&lt;w:tab w:val="num" w:pos="1080"/&gt;&lt;/w:tabs&gt;&lt;w:ind w:left="1080" w:hanging="360"/&gt;&lt;/w:pPr&gt;&lt;w:rPr&gt;&lt;w:rFonts w:ascii="Symbol" w:hAnsi="Symbol" w:hint="default"/&gt;&lt;/w:rPr&gt;&lt;/w:lvl&gt;&lt;/w:abstractNum&gt;&lt;w:num w:numId="1"&gt;&lt;w:abstractNumId w:val="9"/&gt;&lt;/w:num&gt;&lt;w:num w:numId="2"&gt;&lt;w:abstractNumId w:val="7"/&gt;&lt;/w:num&gt;&lt;w:num w:numId="3"&gt;&lt;w:abstractNumId w:val="6"/&gt;&lt;/w:num&gt;&lt;w:num w:numId="4"&gt;&lt;w:abstractNumId w:val="5"/&gt;&lt;/w:num&gt;&lt;w:num w:numId="5"&gt;&lt;w:abstractNumId w:val="4"/&gt;&lt;/w:num&gt;&lt;w:num w:numId="6"&gt;&lt;w:abstractNumId w:val="8"/&gt;&lt;/w:num&gt;&lt;w:num w:numId="7"&gt;&lt;w:abstractNumId w:val="3"/&gt;&lt;/w:num&gt;&lt;w:num w:numId="8"&gt;&lt;w:abstractNumId w:val="2"/&gt;&lt;/w:num&gt;&lt;w:num w:numId="9"&gt;&lt;w:abstractNumId w:val="1"/&gt;&lt;/w:num&gt;&lt;w:num w:numId="10"&gt;&lt;w:abstractNumId w:val="0"/&gt;&lt;/w:num&gt;&lt;w:num w:numId="11"&gt;&lt;w:abstractNumId w:val="9"/&gt;&lt;w:lvlOverride w:ilvl="0"&gt;&lt;w:startOverride w:val="1"/&gt;&lt;/w:lvlOverride&gt;&lt;/w:num&gt;&lt;/w:numbering&gt;&lt;/pkg:xmlData&gt;&lt;/pkg:part&gt;&lt;/pkg:package&gt;
</CustomerName>
    <CompanyName/>
    <SenderAddress/>
    <Address/>
  </employee>
</employe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8E728A-96FF-4995-885C-5AF887AB0C35}">
  <ds:schemaRefs>
    <ds:schemaRef ds:uri="http://schemas.microsoft.com/temp/samples"/>
  </ds:schemaRefs>
</ds:datastoreItem>
</file>

<file path=customXml/itemProps2.xml><?xml version="1.0" encoding="utf-8"?>
<ds:datastoreItem xmlns:ds="http://schemas.openxmlformats.org/officeDocument/2006/customXml" ds:itemID="{C4074577-505F-4265-B1D0-E5F7C8F26A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paper(4)</Template>
  <TotalTime>1236</TotalTime>
  <Pages>7</Pages>
  <Words>1204</Words>
  <Characters>6867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2018-11-23T12:58:00Z</dcterms:created>
  <dcterms:modified xsi:type="dcterms:W3CDTF">2018-11-24T09:54:00Z</dcterms:modified>
</cp:coreProperties>
</file>